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5214" w:rsidRPr="004B2D8F" w:rsidRDefault="00315214" w:rsidP="00315214">
      <w:pPr>
        <w:widowControl/>
        <w:suppressAutoHyphens w:val="0"/>
        <w:spacing w:before="100" w:beforeAutospacing="1" w:after="100" w:afterAutospacing="1"/>
        <w:jc w:val="center"/>
        <w:outlineLvl w:val="1"/>
        <w:rPr>
          <w:b/>
          <w:bCs/>
          <w:lang w:eastAsia="it-IT"/>
        </w:rPr>
      </w:pPr>
      <w:r w:rsidRPr="004B2D8F">
        <w:rPr>
          <w:b/>
          <w:bCs/>
          <w:lang w:eastAsia="it-IT"/>
        </w:rPr>
        <w:t>Comunicato Stampa</w:t>
      </w:r>
      <w:r w:rsidR="000360EC" w:rsidRPr="004B2D8F">
        <w:rPr>
          <w:b/>
          <w:bCs/>
          <w:lang w:eastAsia="it-IT"/>
        </w:rPr>
        <w:t xml:space="preserve">                                                                                                                                       </w:t>
      </w:r>
      <w:r w:rsidRPr="004B2D8F">
        <w:rPr>
          <w:b/>
          <w:bCs/>
          <w:lang w:eastAsia="it-IT"/>
        </w:rPr>
        <w:t xml:space="preserve">Consiglio di Amministrazione di RCS </w:t>
      </w:r>
      <w:proofErr w:type="spellStart"/>
      <w:r w:rsidRPr="004B2D8F">
        <w:rPr>
          <w:b/>
          <w:bCs/>
          <w:lang w:eastAsia="it-IT"/>
        </w:rPr>
        <w:t>MediaGroup</w:t>
      </w:r>
      <w:proofErr w:type="spellEnd"/>
    </w:p>
    <w:p w:rsidR="00C64A52" w:rsidRDefault="006C4511">
      <w:pPr>
        <w:widowControl/>
        <w:suppressAutoHyphens w:val="0"/>
        <w:spacing w:before="100" w:beforeAutospacing="1" w:after="100" w:afterAutospacing="1"/>
        <w:jc w:val="center"/>
        <w:outlineLvl w:val="1"/>
        <w:rPr>
          <w:b/>
          <w:bCs/>
          <w:sz w:val="26"/>
          <w:szCs w:val="26"/>
          <w:u w:val="single"/>
          <w:lang w:eastAsia="it-IT"/>
        </w:rPr>
      </w:pPr>
      <w:r w:rsidRPr="006C4511">
        <w:rPr>
          <w:b/>
          <w:bCs/>
          <w:sz w:val="26"/>
          <w:szCs w:val="26"/>
          <w:u w:val="single"/>
          <w:lang w:eastAsia="it-IT"/>
        </w:rPr>
        <w:t xml:space="preserve">Approvati </w:t>
      </w:r>
      <w:r>
        <w:rPr>
          <w:b/>
          <w:bCs/>
          <w:sz w:val="26"/>
          <w:szCs w:val="26"/>
          <w:u w:val="single"/>
          <w:lang w:eastAsia="it-IT"/>
        </w:rPr>
        <w:t xml:space="preserve">i risultati al </w:t>
      </w:r>
      <w:r w:rsidR="00B06000">
        <w:rPr>
          <w:b/>
          <w:bCs/>
          <w:sz w:val="26"/>
          <w:szCs w:val="26"/>
          <w:u w:val="single"/>
          <w:lang w:eastAsia="it-IT"/>
        </w:rPr>
        <w:t xml:space="preserve">31 </w:t>
      </w:r>
      <w:r w:rsidR="00901403">
        <w:rPr>
          <w:b/>
          <w:bCs/>
          <w:sz w:val="26"/>
          <w:szCs w:val="26"/>
          <w:u w:val="single"/>
          <w:lang w:eastAsia="it-IT"/>
        </w:rPr>
        <w:t>marzo 2015</w:t>
      </w:r>
      <w:r w:rsidR="001427F2">
        <w:rPr>
          <w:rStyle w:val="Rimandonotaapidipagina"/>
          <w:b/>
          <w:bCs/>
          <w:sz w:val="26"/>
          <w:szCs w:val="26"/>
          <w:u w:val="single"/>
          <w:lang w:eastAsia="it-IT"/>
        </w:rPr>
        <w:footnoteReference w:id="1"/>
      </w:r>
    </w:p>
    <w:p w:rsidR="00C64A52" w:rsidRPr="009E6759" w:rsidRDefault="00C64A52">
      <w:pPr>
        <w:widowControl/>
        <w:suppressAutoHyphens w:val="0"/>
        <w:spacing w:before="100" w:beforeAutospacing="1" w:after="100" w:afterAutospacing="1"/>
        <w:jc w:val="center"/>
        <w:outlineLvl w:val="1"/>
        <w:rPr>
          <w:b/>
          <w:bCs/>
          <w:sz w:val="10"/>
          <w:szCs w:val="10"/>
          <w:u w:val="single"/>
          <w:lang w:eastAsia="it-IT"/>
        </w:rPr>
      </w:pPr>
    </w:p>
    <w:p w:rsidR="00B20C24" w:rsidRPr="00FF41E7" w:rsidRDefault="00B84F37" w:rsidP="00162068">
      <w:pPr>
        <w:widowControl/>
        <w:suppressAutoHyphens w:val="0"/>
        <w:spacing w:before="100" w:beforeAutospacing="1" w:after="100" w:afterAutospacing="1"/>
        <w:ind w:left="-142" w:firstLine="142"/>
        <w:jc w:val="center"/>
        <w:outlineLvl w:val="1"/>
        <w:rPr>
          <w:b/>
          <w:bCs/>
          <w:lang w:eastAsia="it-IT"/>
        </w:rPr>
      </w:pPr>
      <w:r w:rsidRPr="00FF41E7">
        <w:rPr>
          <w:b/>
          <w:bCs/>
          <w:lang w:eastAsia="it-IT"/>
        </w:rPr>
        <w:t>I r</w:t>
      </w:r>
      <w:r w:rsidR="00C64A52" w:rsidRPr="00FF41E7">
        <w:rPr>
          <w:b/>
          <w:bCs/>
          <w:lang w:eastAsia="it-IT"/>
        </w:rPr>
        <w:t>icavi consolidati decrescono del 2,</w:t>
      </w:r>
      <w:r w:rsidR="00FF41E7" w:rsidRPr="00FF41E7">
        <w:rPr>
          <w:b/>
          <w:bCs/>
          <w:lang w:eastAsia="it-IT"/>
        </w:rPr>
        <w:t>4</w:t>
      </w:r>
      <w:r w:rsidR="00C64A52" w:rsidRPr="00FF41E7">
        <w:rPr>
          <w:b/>
          <w:bCs/>
          <w:lang w:eastAsia="it-IT"/>
        </w:rPr>
        <w:t xml:space="preserve">%, </w:t>
      </w:r>
      <w:r w:rsidR="00634582">
        <w:rPr>
          <w:b/>
          <w:bCs/>
          <w:lang w:eastAsia="it-IT"/>
        </w:rPr>
        <w:t xml:space="preserve">principalmente per effetto dell’andamento                 </w:t>
      </w:r>
      <w:r w:rsidR="00FF41E7" w:rsidRPr="00FF41E7">
        <w:rPr>
          <w:b/>
          <w:bCs/>
          <w:lang w:eastAsia="it-IT"/>
        </w:rPr>
        <w:t>de</w:t>
      </w:r>
      <w:r w:rsidR="00B10BED">
        <w:rPr>
          <w:b/>
          <w:bCs/>
          <w:lang w:eastAsia="it-IT"/>
        </w:rPr>
        <w:t xml:space="preserve">lla raccolta </w:t>
      </w:r>
      <w:r w:rsidR="00EF2373" w:rsidRPr="00FF41E7">
        <w:rPr>
          <w:b/>
          <w:bCs/>
          <w:lang w:eastAsia="it-IT"/>
        </w:rPr>
        <w:t>pubblicitari</w:t>
      </w:r>
      <w:r w:rsidR="00B10BED">
        <w:rPr>
          <w:b/>
          <w:bCs/>
          <w:lang w:eastAsia="it-IT"/>
        </w:rPr>
        <w:t>a</w:t>
      </w:r>
      <w:r w:rsidR="00634582">
        <w:rPr>
          <w:b/>
          <w:bCs/>
          <w:lang w:eastAsia="it-IT"/>
        </w:rPr>
        <w:t xml:space="preserve"> in Italia</w:t>
      </w:r>
      <w:r w:rsidR="00EF2373" w:rsidRPr="00FF41E7">
        <w:rPr>
          <w:b/>
          <w:bCs/>
          <w:lang w:eastAsia="it-IT"/>
        </w:rPr>
        <w:t>.</w:t>
      </w:r>
    </w:p>
    <w:p w:rsidR="00EF2373" w:rsidRPr="004B2D8F" w:rsidRDefault="00FF41E7" w:rsidP="00EF2373">
      <w:pPr>
        <w:widowControl/>
        <w:suppressAutoHyphens w:val="0"/>
        <w:spacing w:before="100" w:beforeAutospacing="1" w:after="100" w:afterAutospacing="1" w:line="264" w:lineRule="auto"/>
        <w:jc w:val="center"/>
        <w:rPr>
          <w:b/>
          <w:bCs/>
          <w:lang w:eastAsia="it-IT"/>
        </w:rPr>
      </w:pPr>
      <w:r w:rsidRPr="004B2D8F">
        <w:rPr>
          <w:b/>
          <w:bCs/>
          <w:lang w:eastAsia="it-IT"/>
        </w:rPr>
        <w:t>Continua il trend migliorativo dell’</w:t>
      </w:r>
      <w:r w:rsidR="002B6725" w:rsidRPr="004B2D8F">
        <w:rPr>
          <w:b/>
          <w:bCs/>
          <w:lang w:eastAsia="it-IT"/>
        </w:rPr>
        <w:t xml:space="preserve">EBITDA </w:t>
      </w:r>
      <w:r w:rsidRPr="004B2D8F">
        <w:rPr>
          <w:b/>
          <w:bCs/>
          <w:lang w:eastAsia="it-IT"/>
        </w:rPr>
        <w:t xml:space="preserve">di Gruppo </w:t>
      </w:r>
      <w:proofErr w:type="spellStart"/>
      <w:r w:rsidR="002B6725" w:rsidRPr="004B2D8F">
        <w:rPr>
          <w:b/>
          <w:bCs/>
          <w:lang w:eastAsia="it-IT"/>
        </w:rPr>
        <w:t>pre</w:t>
      </w:r>
      <w:proofErr w:type="spellEnd"/>
      <w:r w:rsidR="002B6725" w:rsidRPr="004B2D8F">
        <w:rPr>
          <w:b/>
          <w:bCs/>
          <w:lang w:eastAsia="it-IT"/>
        </w:rPr>
        <w:t xml:space="preserve"> oneri e proventi non ricorrenti</w:t>
      </w:r>
      <w:r w:rsidR="0099508B" w:rsidRPr="004B2D8F">
        <w:rPr>
          <w:b/>
          <w:bCs/>
          <w:lang w:eastAsia="it-IT"/>
        </w:rPr>
        <w:t>,</w:t>
      </w:r>
      <w:r w:rsidR="00634582">
        <w:rPr>
          <w:b/>
          <w:bCs/>
          <w:lang w:eastAsia="it-IT"/>
        </w:rPr>
        <w:t xml:space="preserve"> negativo come da stagionalità, </w:t>
      </w:r>
      <w:bookmarkStart w:id="0" w:name="_GoBack"/>
      <w:bookmarkEnd w:id="0"/>
      <w:r w:rsidR="00634582">
        <w:rPr>
          <w:b/>
          <w:bCs/>
          <w:lang w:eastAsia="it-IT"/>
        </w:rPr>
        <w:t>ma comunque</w:t>
      </w:r>
      <w:r w:rsidR="00E6747E" w:rsidRPr="004B2D8F">
        <w:rPr>
          <w:b/>
          <w:bCs/>
          <w:lang w:eastAsia="it-IT"/>
        </w:rPr>
        <w:t xml:space="preserve"> </w:t>
      </w:r>
      <w:r w:rsidRPr="004B2D8F">
        <w:rPr>
          <w:b/>
          <w:bCs/>
          <w:lang w:eastAsia="it-IT"/>
        </w:rPr>
        <w:t xml:space="preserve">in crescita di circa 7 milioni di Euro </w:t>
      </w:r>
      <w:r w:rsidR="00634582">
        <w:rPr>
          <w:b/>
          <w:bCs/>
          <w:lang w:eastAsia="it-IT"/>
        </w:rPr>
        <w:t xml:space="preserve">             </w:t>
      </w:r>
      <w:r w:rsidRPr="004B2D8F">
        <w:rPr>
          <w:b/>
          <w:bCs/>
          <w:lang w:eastAsia="it-IT"/>
        </w:rPr>
        <w:t>rispetto al primo trimestre 2014</w:t>
      </w:r>
      <w:r w:rsidR="007E3C17" w:rsidRPr="004B2D8F">
        <w:rPr>
          <w:b/>
          <w:bCs/>
          <w:lang w:eastAsia="it-IT"/>
        </w:rPr>
        <w:t>.</w:t>
      </w:r>
    </w:p>
    <w:p w:rsidR="00EF2373" w:rsidRPr="004B2D8F" w:rsidRDefault="004B2D8F" w:rsidP="00EF2373">
      <w:pPr>
        <w:widowControl/>
        <w:suppressAutoHyphens w:val="0"/>
        <w:spacing w:before="100" w:beforeAutospacing="1" w:after="100" w:afterAutospacing="1" w:line="264" w:lineRule="auto"/>
        <w:jc w:val="center"/>
        <w:rPr>
          <w:b/>
          <w:bCs/>
          <w:lang w:eastAsia="it-IT"/>
        </w:rPr>
      </w:pPr>
      <w:r w:rsidRPr="004B2D8F">
        <w:rPr>
          <w:b/>
          <w:bCs/>
          <w:lang w:eastAsia="it-IT"/>
        </w:rPr>
        <w:t xml:space="preserve">13 milioni di Euro di benefici da efficienze </w:t>
      </w:r>
      <w:r w:rsidR="00634582">
        <w:rPr>
          <w:b/>
          <w:bCs/>
          <w:lang w:eastAsia="it-IT"/>
        </w:rPr>
        <w:t xml:space="preserve">strutturali </w:t>
      </w:r>
      <w:r w:rsidRPr="004B2D8F">
        <w:rPr>
          <w:b/>
          <w:bCs/>
          <w:lang w:eastAsia="it-IT"/>
        </w:rPr>
        <w:t>nel primo trimestre 2015</w:t>
      </w:r>
      <w:r w:rsidR="0048097F" w:rsidRPr="00E4773F">
        <w:rPr>
          <w:b/>
          <w:bCs/>
          <w:lang w:eastAsia="it-IT"/>
        </w:rPr>
        <w:t xml:space="preserve">, portando a un progressivo di 177 milioni, in linea con l’obiettivo per </w:t>
      </w:r>
      <w:r w:rsidR="007014D3" w:rsidRPr="00E84BDE">
        <w:rPr>
          <w:b/>
          <w:bCs/>
          <w:lang w:eastAsia="it-IT"/>
        </w:rPr>
        <w:t>il triennio (220 milioni)</w:t>
      </w:r>
      <w:r w:rsidR="00EF2373" w:rsidRPr="00E84BDE">
        <w:rPr>
          <w:b/>
          <w:bCs/>
          <w:lang w:eastAsia="it-IT"/>
        </w:rPr>
        <w:t>.</w:t>
      </w:r>
    </w:p>
    <w:p w:rsidR="00B84F37" w:rsidRPr="004B2D8F" w:rsidRDefault="004B2D8F" w:rsidP="009E6759">
      <w:pPr>
        <w:widowControl/>
        <w:suppressAutoHyphens w:val="0"/>
        <w:spacing w:before="100" w:beforeAutospacing="1" w:after="100" w:afterAutospacing="1" w:line="264" w:lineRule="auto"/>
        <w:jc w:val="center"/>
        <w:rPr>
          <w:b/>
          <w:bCs/>
          <w:lang w:eastAsia="it-IT"/>
        </w:rPr>
      </w:pPr>
      <w:r w:rsidRPr="004B2D8F">
        <w:rPr>
          <w:b/>
          <w:bCs/>
          <w:lang w:eastAsia="it-IT"/>
        </w:rPr>
        <w:t>Perdita netta consolidata in significativa riduzione</w:t>
      </w:r>
      <w:r w:rsidR="00B84F37" w:rsidRPr="004B2D8F">
        <w:rPr>
          <w:b/>
          <w:bCs/>
          <w:lang w:eastAsia="it-IT"/>
        </w:rPr>
        <w:t>: risultato netto a -</w:t>
      </w:r>
      <w:r w:rsidRPr="004B2D8F">
        <w:rPr>
          <w:b/>
          <w:bCs/>
          <w:lang w:eastAsia="it-IT"/>
        </w:rPr>
        <w:t>35,2</w:t>
      </w:r>
      <w:r w:rsidR="00B84F37" w:rsidRPr="004B2D8F">
        <w:rPr>
          <w:b/>
          <w:bCs/>
          <w:lang w:eastAsia="it-IT"/>
        </w:rPr>
        <w:t xml:space="preserve"> milioni di Euro  </w:t>
      </w:r>
      <w:r w:rsidRPr="004B2D8F">
        <w:rPr>
          <w:b/>
          <w:bCs/>
          <w:lang w:eastAsia="it-IT"/>
        </w:rPr>
        <w:t xml:space="preserve">   </w:t>
      </w:r>
      <w:r w:rsidR="00B84F37" w:rsidRPr="004B2D8F">
        <w:rPr>
          <w:b/>
          <w:bCs/>
          <w:lang w:eastAsia="it-IT"/>
        </w:rPr>
        <w:t xml:space="preserve">                           </w:t>
      </w:r>
      <w:proofErr w:type="gramStart"/>
      <w:r w:rsidR="00B84F37" w:rsidRPr="004B2D8F">
        <w:rPr>
          <w:b/>
          <w:bCs/>
          <w:lang w:eastAsia="it-IT"/>
        </w:rPr>
        <w:t xml:space="preserve">   (</w:t>
      </w:r>
      <w:proofErr w:type="gramEnd"/>
      <w:r w:rsidR="00B84F37" w:rsidRPr="004B2D8F">
        <w:rPr>
          <w:b/>
          <w:bCs/>
          <w:lang w:eastAsia="it-IT"/>
        </w:rPr>
        <w:t>-</w:t>
      </w:r>
      <w:r w:rsidRPr="004B2D8F">
        <w:rPr>
          <w:b/>
          <w:bCs/>
          <w:lang w:eastAsia="it-IT"/>
        </w:rPr>
        <w:t>53,9</w:t>
      </w:r>
      <w:r w:rsidR="00B84F37" w:rsidRPr="004B2D8F">
        <w:rPr>
          <w:b/>
          <w:bCs/>
          <w:lang w:eastAsia="it-IT"/>
        </w:rPr>
        <w:t xml:space="preserve"> milioni nel </w:t>
      </w:r>
      <w:r w:rsidRPr="004B2D8F">
        <w:rPr>
          <w:b/>
          <w:bCs/>
          <w:lang w:eastAsia="it-IT"/>
        </w:rPr>
        <w:t>pari periodo 2014</w:t>
      </w:r>
      <w:r w:rsidR="00B84F37" w:rsidRPr="004B2D8F">
        <w:rPr>
          <w:b/>
          <w:bCs/>
          <w:lang w:eastAsia="it-IT"/>
        </w:rPr>
        <w:t>).</w:t>
      </w:r>
    </w:p>
    <w:p w:rsidR="00EF2373" w:rsidRPr="004B2D8F" w:rsidRDefault="00EF2373" w:rsidP="00EF2373">
      <w:pPr>
        <w:widowControl/>
        <w:suppressAutoHyphens w:val="0"/>
        <w:spacing w:before="100" w:beforeAutospacing="1" w:after="100" w:afterAutospacing="1" w:line="264" w:lineRule="auto"/>
        <w:jc w:val="center"/>
        <w:rPr>
          <w:b/>
          <w:bCs/>
          <w:lang w:eastAsia="it-IT"/>
        </w:rPr>
      </w:pPr>
      <w:r w:rsidRPr="004B2D8F">
        <w:rPr>
          <w:b/>
          <w:bCs/>
          <w:lang w:eastAsia="it-IT"/>
        </w:rPr>
        <w:t>Flusso di cassa della gestione tipica</w:t>
      </w:r>
      <w:r w:rsidR="00023563">
        <w:rPr>
          <w:b/>
          <w:bCs/>
          <w:lang w:eastAsia="it-IT"/>
        </w:rPr>
        <w:t xml:space="preserve"> corrente</w:t>
      </w:r>
      <w:r w:rsidR="00966343" w:rsidRPr="004B2D8F">
        <w:rPr>
          <w:b/>
          <w:bCs/>
          <w:lang w:eastAsia="it-IT"/>
        </w:rPr>
        <w:t xml:space="preserve"> </w:t>
      </w:r>
      <w:r w:rsidRPr="004B2D8F">
        <w:rPr>
          <w:b/>
          <w:bCs/>
          <w:lang w:eastAsia="it-IT"/>
        </w:rPr>
        <w:t xml:space="preserve">in miglioramento di </w:t>
      </w:r>
      <w:r w:rsidR="004B2D8F" w:rsidRPr="004B2D8F">
        <w:rPr>
          <w:b/>
          <w:bCs/>
          <w:lang w:eastAsia="it-IT"/>
        </w:rPr>
        <w:t>2</w:t>
      </w:r>
      <w:r w:rsidR="00344579">
        <w:rPr>
          <w:b/>
          <w:bCs/>
          <w:lang w:eastAsia="it-IT"/>
        </w:rPr>
        <w:t>5</w:t>
      </w:r>
      <w:r w:rsidRPr="004B2D8F">
        <w:rPr>
          <w:b/>
          <w:bCs/>
          <w:lang w:eastAsia="it-IT"/>
        </w:rPr>
        <w:t xml:space="preserve"> milioni </w:t>
      </w:r>
      <w:r w:rsidR="00B0154B">
        <w:rPr>
          <w:b/>
          <w:bCs/>
          <w:lang w:eastAsia="it-IT"/>
        </w:rPr>
        <w:t xml:space="preserve">                                           </w:t>
      </w:r>
      <w:r w:rsidR="004B2D8F">
        <w:rPr>
          <w:b/>
          <w:bCs/>
          <w:lang w:eastAsia="it-IT"/>
        </w:rPr>
        <w:t>rispetto al</w:t>
      </w:r>
      <w:r w:rsidRPr="004B2D8F">
        <w:rPr>
          <w:b/>
          <w:bCs/>
          <w:lang w:eastAsia="it-IT"/>
        </w:rPr>
        <w:t xml:space="preserve"> </w:t>
      </w:r>
      <w:r w:rsidR="004B2D8F" w:rsidRPr="004B2D8F">
        <w:rPr>
          <w:b/>
          <w:bCs/>
          <w:lang w:eastAsia="it-IT"/>
        </w:rPr>
        <w:t xml:space="preserve">primo trimestre </w:t>
      </w:r>
      <w:r w:rsidRPr="004B2D8F">
        <w:rPr>
          <w:b/>
          <w:bCs/>
          <w:lang w:eastAsia="it-IT"/>
        </w:rPr>
        <w:t>201</w:t>
      </w:r>
      <w:r w:rsidR="004B2D8F" w:rsidRPr="004B2D8F">
        <w:rPr>
          <w:b/>
          <w:bCs/>
          <w:lang w:eastAsia="it-IT"/>
        </w:rPr>
        <w:t>4</w:t>
      </w:r>
      <w:r w:rsidRPr="004B2D8F">
        <w:rPr>
          <w:b/>
          <w:bCs/>
          <w:lang w:eastAsia="it-IT"/>
        </w:rPr>
        <w:t>.</w:t>
      </w:r>
    </w:p>
    <w:p w:rsidR="00C64A52" w:rsidRDefault="00C64A52" w:rsidP="00EF2373">
      <w:pPr>
        <w:widowControl/>
        <w:suppressAutoHyphens w:val="0"/>
        <w:spacing w:before="100" w:beforeAutospacing="1" w:after="100" w:afterAutospacing="1" w:line="264" w:lineRule="auto"/>
        <w:jc w:val="center"/>
        <w:rPr>
          <w:b/>
          <w:bCs/>
          <w:lang w:eastAsia="it-IT"/>
        </w:rPr>
      </w:pPr>
      <w:r w:rsidRPr="004B2D8F">
        <w:rPr>
          <w:b/>
          <w:bCs/>
          <w:lang w:eastAsia="it-IT"/>
        </w:rPr>
        <w:t>Posizione Finanziaria Netta pari a -</w:t>
      </w:r>
      <w:r w:rsidR="004B2D8F" w:rsidRPr="004B2D8F">
        <w:rPr>
          <w:b/>
          <w:bCs/>
          <w:lang w:eastAsia="it-IT"/>
        </w:rPr>
        <w:t>507,5</w:t>
      </w:r>
      <w:r w:rsidRPr="004B2D8F">
        <w:rPr>
          <w:b/>
          <w:bCs/>
          <w:lang w:eastAsia="it-IT"/>
        </w:rPr>
        <w:t xml:space="preserve"> milioni</w:t>
      </w:r>
      <w:r w:rsidR="00BB1466">
        <w:rPr>
          <w:b/>
          <w:bCs/>
          <w:lang w:eastAsia="it-IT"/>
        </w:rPr>
        <w:t xml:space="preserve"> rispetto ai </w:t>
      </w:r>
      <w:r w:rsidR="00DA14F6">
        <w:rPr>
          <w:b/>
          <w:bCs/>
          <w:lang w:eastAsia="it-IT"/>
        </w:rPr>
        <w:t>-</w:t>
      </w:r>
      <w:r w:rsidR="00BB1466">
        <w:rPr>
          <w:b/>
          <w:bCs/>
          <w:lang w:eastAsia="it-IT"/>
        </w:rPr>
        <w:t>520,8</w:t>
      </w:r>
      <w:r w:rsidRPr="004B2D8F">
        <w:rPr>
          <w:b/>
          <w:bCs/>
          <w:lang w:eastAsia="it-IT"/>
        </w:rPr>
        <w:t xml:space="preserve"> milioni al </w:t>
      </w:r>
      <w:r w:rsidR="004B2D8F" w:rsidRPr="004B2D8F">
        <w:rPr>
          <w:b/>
          <w:bCs/>
          <w:lang w:eastAsia="it-IT"/>
        </w:rPr>
        <w:t>31 marzo</w:t>
      </w:r>
      <w:r w:rsidRPr="004B2D8F">
        <w:rPr>
          <w:b/>
          <w:bCs/>
          <w:lang w:eastAsia="it-IT"/>
        </w:rPr>
        <w:t xml:space="preserve"> 2014.</w:t>
      </w:r>
    </w:p>
    <w:p w:rsidR="00BB1466" w:rsidRPr="009E6759" w:rsidRDefault="00BB1466" w:rsidP="00EF2373">
      <w:pPr>
        <w:widowControl/>
        <w:suppressAutoHyphens w:val="0"/>
        <w:spacing w:before="100" w:beforeAutospacing="1" w:after="100" w:afterAutospacing="1" w:line="264" w:lineRule="auto"/>
        <w:jc w:val="center"/>
        <w:rPr>
          <w:b/>
          <w:bCs/>
          <w:lang w:eastAsia="it-IT"/>
        </w:rPr>
      </w:pPr>
    </w:p>
    <w:tbl>
      <w:tblPr>
        <w:tblW w:w="5000" w:type="pct"/>
        <w:jc w:val="center"/>
        <w:tblCellMar>
          <w:left w:w="0" w:type="dxa"/>
          <w:right w:w="0" w:type="dxa"/>
        </w:tblCellMar>
        <w:tblLook w:val="04A0" w:firstRow="1" w:lastRow="0" w:firstColumn="1" w:lastColumn="0" w:noHBand="0" w:noVBand="1"/>
      </w:tblPr>
      <w:tblGrid>
        <w:gridCol w:w="4984"/>
        <w:gridCol w:w="1626"/>
        <w:gridCol w:w="1529"/>
        <w:gridCol w:w="1622"/>
      </w:tblGrid>
      <w:tr w:rsidR="001572AD" w:rsidTr="001572AD">
        <w:trPr>
          <w:trHeight w:val="495"/>
          <w:jc w:val="center"/>
        </w:trPr>
        <w:tc>
          <w:tcPr>
            <w:tcW w:w="2552"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572AD" w:rsidRPr="003330A2" w:rsidRDefault="001572AD">
            <w:pPr>
              <w:snapToGrid w:val="0"/>
              <w:ind w:left="34" w:right="-285"/>
              <w:jc w:val="center"/>
              <w:rPr>
                <w:b/>
                <w:color w:val="000000"/>
                <w:sz w:val="22"/>
                <w:szCs w:val="22"/>
              </w:rPr>
            </w:pPr>
            <w:r w:rsidRPr="003330A2">
              <w:rPr>
                <w:b/>
                <w:color w:val="000000"/>
                <w:sz w:val="22"/>
                <w:szCs w:val="22"/>
              </w:rPr>
              <w:t>Dati Consolidati (Milioni di Euro)</w:t>
            </w:r>
          </w:p>
        </w:tc>
        <w:tc>
          <w:tcPr>
            <w:tcW w:w="8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b/>
                <w:bCs/>
                <w:color w:val="000000"/>
                <w:sz w:val="22"/>
                <w:szCs w:val="22"/>
              </w:rPr>
            </w:pPr>
            <w:r>
              <w:rPr>
                <w:b/>
                <w:bCs/>
                <w:color w:val="000000"/>
                <w:sz w:val="22"/>
                <w:szCs w:val="22"/>
              </w:rPr>
              <w:t>31/03/2015</w:t>
            </w:r>
          </w:p>
        </w:tc>
        <w:tc>
          <w:tcPr>
            <w:tcW w:w="78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b/>
                <w:bCs/>
                <w:color w:val="000000"/>
                <w:sz w:val="22"/>
                <w:szCs w:val="22"/>
              </w:rPr>
            </w:pPr>
            <w:r>
              <w:rPr>
                <w:b/>
                <w:bCs/>
                <w:color w:val="000000"/>
                <w:sz w:val="22"/>
                <w:szCs w:val="22"/>
              </w:rPr>
              <w:t>31/03/2014</w:t>
            </w:r>
          </w:p>
        </w:tc>
        <w:tc>
          <w:tcPr>
            <w:tcW w:w="831"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b/>
                <w:bCs/>
                <w:color w:val="000000"/>
                <w:sz w:val="22"/>
                <w:szCs w:val="22"/>
              </w:rPr>
            </w:pPr>
            <w:r>
              <w:rPr>
                <w:b/>
                <w:bCs/>
                <w:color w:val="000000"/>
                <w:sz w:val="22"/>
                <w:szCs w:val="22"/>
              </w:rPr>
              <w:t>Δ</w:t>
            </w:r>
          </w:p>
        </w:tc>
      </w:tr>
      <w:tr w:rsidR="001572AD" w:rsidTr="001572AD">
        <w:trPr>
          <w:trHeight w:val="230"/>
          <w:jc w:val="center"/>
        </w:trPr>
        <w:tc>
          <w:tcPr>
            <w:tcW w:w="2552"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572AD" w:rsidRPr="003330A2" w:rsidRDefault="001572AD" w:rsidP="003330A2">
            <w:pPr>
              <w:snapToGrid w:val="0"/>
              <w:ind w:left="34" w:right="-285"/>
              <w:jc w:val="center"/>
              <w:rPr>
                <w:color w:val="000000"/>
                <w:sz w:val="22"/>
                <w:szCs w:val="22"/>
              </w:rPr>
            </w:pPr>
            <w:r w:rsidRPr="003330A2">
              <w:rPr>
                <w:color w:val="000000"/>
                <w:sz w:val="22"/>
                <w:szCs w:val="22"/>
              </w:rPr>
              <w:t>Ricavi consolidati</w:t>
            </w:r>
          </w:p>
        </w:tc>
        <w:tc>
          <w:tcPr>
            <w:tcW w:w="83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sz w:val="22"/>
                <w:szCs w:val="22"/>
              </w:rPr>
            </w:pPr>
            <w:r>
              <w:rPr>
                <w:sz w:val="22"/>
                <w:szCs w:val="22"/>
              </w:rPr>
              <w:t>256,5</w:t>
            </w:r>
          </w:p>
        </w:tc>
        <w:tc>
          <w:tcPr>
            <w:tcW w:w="78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sz w:val="22"/>
                <w:szCs w:val="22"/>
              </w:rPr>
            </w:pPr>
            <w:r>
              <w:rPr>
                <w:sz w:val="22"/>
                <w:szCs w:val="22"/>
              </w:rPr>
              <w:t>262,9</w:t>
            </w:r>
          </w:p>
        </w:tc>
        <w:tc>
          <w:tcPr>
            <w:tcW w:w="83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sz w:val="22"/>
                <w:szCs w:val="22"/>
              </w:rPr>
            </w:pPr>
            <w:r>
              <w:rPr>
                <w:sz w:val="22"/>
                <w:szCs w:val="22"/>
              </w:rPr>
              <w:t>-2,4%</w:t>
            </w:r>
          </w:p>
        </w:tc>
      </w:tr>
      <w:tr w:rsidR="001572AD" w:rsidTr="001572AD">
        <w:trPr>
          <w:trHeight w:val="230"/>
          <w:jc w:val="center"/>
        </w:trPr>
        <w:tc>
          <w:tcPr>
            <w:tcW w:w="2552"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572AD" w:rsidRPr="003330A2" w:rsidRDefault="001572AD" w:rsidP="003330A2">
            <w:pPr>
              <w:snapToGrid w:val="0"/>
              <w:ind w:left="34" w:right="-285"/>
              <w:jc w:val="center"/>
              <w:rPr>
                <w:color w:val="000000"/>
                <w:sz w:val="22"/>
                <w:szCs w:val="22"/>
              </w:rPr>
            </w:pPr>
            <w:r w:rsidRPr="003330A2">
              <w:rPr>
                <w:color w:val="000000"/>
                <w:sz w:val="22"/>
                <w:szCs w:val="22"/>
              </w:rPr>
              <w:t xml:space="preserve">EBITDA </w:t>
            </w:r>
            <w:proofErr w:type="spellStart"/>
            <w:r w:rsidRPr="003330A2">
              <w:rPr>
                <w:color w:val="000000"/>
                <w:sz w:val="22"/>
                <w:szCs w:val="22"/>
              </w:rPr>
              <w:t>pre</w:t>
            </w:r>
            <w:proofErr w:type="spellEnd"/>
            <w:r w:rsidRPr="003330A2">
              <w:rPr>
                <w:color w:val="000000"/>
                <w:sz w:val="22"/>
                <w:szCs w:val="22"/>
              </w:rPr>
              <w:t xml:space="preserve"> oneri e proventi non ricorrenti</w:t>
            </w:r>
          </w:p>
        </w:tc>
        <w:tc>
          <w:tcPr>
            <w:tcW w:w="83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sz w:val="22"/>
                <w:szCs w:val="22"/>
                <w:highlight w:val="yellow"/>
              </w:rPr>
            </w:pPr>
            <w:r>
              <w:t>(22,3)</w:t>
            </w:r>
          </w:p>
        </w:tc>
        <w:tc>
          <w:tcPr>
            <w:tcW w:w="78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sz w:val="22"/>
                <w:szCs w:val="22"/>
                <w:highlight w:val="yellow"/>
              </w:rPr>
            </w:pPr>
            <w:r>
              <w:t>(29,0)</w:t>
            </w:r>
          </w:p>
        </w:tc>
        <w:tc>
          <w:tcPr>
            <w:tcW w:w="83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sz w:val="22"/>
                <w:szCs w:val="22"/>
              </w:rPr>
            </w:pPr>
            <w:r>
              <w:rPr>
                <w:sz w:val="22"/>
                <w:szCs w:val="22"/>
              </w:rPr>
              <w:t>+23,1%</w:t>
            </w:r>
          </w:p>
        </w:tc>
      </w:tr>
      <w:tr w:rsidR="001572AD" w:rsidTr="001572AD">
        <w:trPr>
          <w:trHeight w:val="230"/>
          <w:jc w:val="center"/>
        </w:trPr>
        <w:tc>
          <w:tcPr>
            <w:tcW w:w="2552"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572AD" w:rsidRPr="003330A2" w:rsidRDefault="001572AD" w:rsidP="003330A2">
            <w:pPr>
              <w:snapToGrid w:val="0"/>
              <w:ind w:left="34" w:right="-285"/>
              <w:jc w:val="center"/>
              <w:rPr>
                <w:color w:val="000000"/>
                <w:sz w:val="22"/>
                <w:szCs w:val="22"/>
              </w:rPr>
            </w:pPr>
            <w:r w:rsidRPr="003330A2">
              <w:rPr>
                <w:color w:val="000000"/>
                <w:sz w:val="22"/>
                <w:szCs w:val="22"/>
              </w:rPr>
              <w:t>EBITDA post oneri e proventi non ricorrenti</w:t>
            </w:r>
          </w:p>
        </w:tc>
        <w:tc>
          <w:tcPr>
            <w:tcW w:w="83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sz w:val="22"/>
                <w:szCs w:val="22"/>
                <w:highlight w:val="yellow"/>
              </w:rPr>
            </w:pPr>
            <w:r>
              <w:t>(23,4)</w:t>
            </w:r>
          </w:p>
        </w:tc>
        <w:tc>
          <w:tcPr>
            <w:tcW w:w="78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sz w:val="22"/>
                <w:szCs w:val="22"/>
                <w:highlight w:val="yellow"/>
              </w:rPr>
            </w:pPr>
            <w:r>
              <w:t>(45,9)</w:t>
            </w:r>
          </w:p>
        </w:tc>
        <w:tc>
          <w:tcPr>
            <w:tcW w:w="83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sz w:val="22"/>
                <w:szCs w:val="22"/>
              </w:rPr>
            </w:pPr>
            <w:r>
              <w:rPr>
                <w:sz w:val="22"/>
                <w:szCs w:val="22"/>
              </w:rPr>
              <w:t>+49,0%</w:t>
            </w:r>
          </w:p>
        </w:tc>
      </w:tr>
      <w:tr w:rsidR="001572AD" w:rsidTr="001572AD">
        <w:trPr>
          <w:trHeight w:val="230"/>
          <w:jc w:val="center"/>
        </w:trPr>
        <w:tc>
          <w:tcPr>
            <w:tcW w:w="2552"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572AD" w:rsidRPr="003330A2" w:rsidRDefault="001572AD" w:rsidP="003330A2">
            <w:pPr>
              <w:snapToGrid w:val="0"/>
              <w:ind w:left="34" w:right="-285"/>
              <w:jc w:val="center"/>
              <w:rPr>
                <w:color w:val="000000"/>
                <w:sz w:val="22"/>
                <w:szCs w:val="22"/>
              </w:rPr>
            </w:pPr>
            <w:r w:rsidRPr="003330A2">
              <w:rPr>
                <w:color w:val="000000"/>
                <w:sz w:val="22"/>
                <w:szCs w:val="22"/>
              </w:rPr>
              <w:t>EBIT</w:t>
            </w:r>
          </w:p>
        </w:tc>
        <w:tc>
          <w:tcPr>
            <w:tcW w:w="83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sz w:val="22"/>
                <w:szCs w:val="22"/>
              </w:rPr>
            </w:pPr>
            <w:r>
              <w:rPr>
                <w:sz w:val="22"/>
                <w:szCs w:val="22"/>
              </w:rPr>
              <w:t>(39,1)</w:t>
            </w:r>
          </w:p>
        </w:tc>
        <w:tc>
          <w:tcPr>
            <w:tcW w:w="78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sz w:val="22"/>
                <w:szCs w:val="22"/>
              </w:rPr>
            </w:pPr>
            <w:r>
              <w:rPr>
                <w:sz w:val="22"/>
                <w:szCs w:val="22"/>
              </w:rPr>
              <w:t>(60,1)</w:t>
            </w:r>
          </w:p>
        </w:tc>
        <w:tc>
          <w:tcPr>
            <w:tcW w:w="83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sz w:val="22"/>
                <w:szCs w:val="22"/>
              </w:rPr>
            </w:pPr>
            <w:r>
              <w:rPr>
                <w:sz w:val="22"/>
                <w:szCs w:val="22"/>
              </w:rPr>
              <w:t>+35%</w:t>
            </w:r>
          </w:p>
        </w:tc>
      </w:tr>
      <w:tr w:rsidR="001572AD" w:rsidTr="001572AD">
        <w:trPr>
          <w:trHeight w:val="179"/>
          <w:jc w:val="center"/>
        </w:trPr>
        <w:tc>
          <w:tcPr>
            <w:tcW w:w="2552"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572AD" w:rsidRPr="003330A2" w:rsidRDefault="001572AD" w:rsidP="003330A2">
            <w:pPr>
              <w:snapToGrid w:val="0"/>
              <w:ind w:left="34" w:right="-285"/>
              <w:jc w:val="center"/>
              <w:rPr>
                <w:color w:val="000000"/>
                <w:sz w:val="22"/>
                <w:szCs w:val="22"/>
              </w:rPr>
            </w:pPr>
            <w:r w:rsidRPr="003330A2">
              <w:rPr>
                <w:color w:val="000000"/>
                <w:sz w:val="22"/>
                <w:szCs w:val="22"/>
              </w:rPr>
              <w:t>Risultato netto</w:t>
            </w:r>
          </w:p>
        </w:tc>
        <w:tc>
          <w:tcPr>
            <w:tcW w:w="83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spacing w:line="179" w:lineRule="atLeast"/>
              <w:ind w:right="-285" w:hanging="108"/>
              <w:jc w:val="center"/>
              <w:rPr>
                <w:sz w:val="22"/>
                <w:szCs w:val="22"/>
              </w:rPr>
            </w:pPr>
            <w:r>
              <w:t>(35,2)</w:t>
            </w:r>
          </w:p>
        </w:tc>
        <w:tc>
          <w:tcPr>
            <w:tcW w:w="78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spacing w:line="179" w:lineRule="atLeast"/>
              <w:ind w:right="-285" w:hanging="108"/>
              <w:jc w:val="center"/>
              <w:rPr>
                <w:sz w:val="22"/>
                <w:szCs w:val="22"/>
              </w:rPr>
            </w:pPr>
            <w:r>
              <w:t>(53,9)</w:t>
            </w:r>
          </w:p>
        </w:tc>
        <w:tc>
          <w:tcPr>
            <w:tcW w:w="83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572AD" w:rsidRDefault="001572AD">
            <w:pPr>
              <w:snapToGrid w:val="0"/>
              <w:ind w:right="-285" w:hanging="108"/>
              <w:jc w:val="center"/>
              <w:rPr>
                <w:sz w:val="22"/>
                <w:szCs w:val="22"/>
              </w:rPr>
            </w:pPr>
            <w:r>
              <w:rPr>
                <w:sz w:val="22"/>
                <w:szCs w:val="22"/>
              </w:rPr>
              <w:t>+34,7%</w:t>
            </w:r>
          </w:p>
        </w:tc>
      </w:tr>
    </w:tbl>
    <w:p w:rsidR="00EF2373" w:rsidRPr="00162068" w:rsidRDefault="00EF2373" w:rsidP="00162068">
      <w:pPr>
        <w:spacing w:line="210" w:lineRule="atLeast"/>
        <w:ind w:right="-285"/>
        <w:jc w:val="center"/>
        <w:rPr>
          <w:color w:val="800080"/>
          <w:sz w:val="22"/>
          <w:szCs w:val="22"/>
          <w:highlight w:val="yellow"/>
        </w:rPr>
      </w:pPr>
    </w:p>
    <w:tbl>
      <w:tblPr>
        <w:tblW w:w="4945" w:type="pct"/>
        <w:jc w:val="center"/>
        <w:tblLook w:val="0000" w:firstRow="0" w:lastRow="0" w:firstColumn="0" w:lastColumn="0" w:noHBand="0" w:noVBand="0"/>
      </w:tblPr>
      <w:tblGrid>
        <w:gridCol w:w="4958"/>
        <w:gridCol w:w="1660"/>
        <w:gridCol w:w="1469"/>
        <w:gridCol w:w="1577"/>
      </w:tblGrid>
      <w:tr w:rsidR="00B0154B" w:rsidRPr="00162068" w:rsidTr="00B0154B">
        <w:trPr>
          <w:trHeight w:val="412"/>
          <w:jc w:val="center"/>
        </w:trPr>
        <w:tc>
          <w:tcPr>
            <w:tcW w:w="2565" w:type="pct"/>
            <w:tcBorders>
              <w:top w:val="single" w:sz="4" w:space="0" w:color="000000"/>
              <w:left w:val="single" w:sz="4" w:space="0" w:color="000000"/>
              <w:bottom w:val="single" w:sz="4" w:space="0" w:color="000000"/>
            </w:tcBorders>
            <w:vAlign w:val="center"/>
          </w:tcPr>
          <w:p w:rsidR="00B0154B" w:rsidRPr="00162068" w:rsidRDefault="00B0154B" w:rsidP="00B0154B">
            <w:pPr>
              <w:snapToGrid w:val="0"/>
              <w:ind w:left="34" w:right="-285"/>
              <w:jc w:val="center"/>
              <w:rPr>
                <w:b/>
                <w:bCs/>
                <w:color w:val="000000"/>
                <w:sz w:val="22"/>
                <w:szCs w:val="22"/>
              </w:rPr>
            </w:pPr>
            <w:r w:rsidRPr="00162068">
              <w:rPr>
                <w:b/>
                <w:color w:val="000000"/>
                <w:sz w:val="22"/>
                <w:szCs w:val="22"/>
              </w:rPr>
              <w:t xml:space="preserve">Dati Patrimoniali </w:t>
            </w:r>
            <w:r w:rsidRPr="00162068">
              <w:rPr>
                <w:b/>
                <w:bCs/>
                <w:color w:val="000000"/>
                <w:sz w:val="22"/>
                <w:szCs w:val="22"/>
              </w:rPr>
              <w:t>(Milioni di Euro)</w:t>
            </w:r>
          </w:p>
        </w:tc>
        <w:tc>
          <w:tcPr>
            <w:tcW w:w="859" w:type="pct"/>
            <w:tcBorders>
              <w:top w:val="single" w:sz="4" w:space="0" w:color="000000"/>
              <w:left w:val="single" w:sz="4" w:space="0" w:color="000000"/>
              <w:bottom w:val="single" w:sz="4" w:space="0" w:color="000000"/>
            </w:tcBorders>
            <w:vAlign w:val="center"/>
          </w:tcPr>
          <w:p w:rsidR="00B0154B" w:rsidRPr="00162068" w:rsidRDefault="00B0154B" w:rsidP="00B0154B">
            <w:pPr>
              <w:snapToGrid w:val="0"/>
              <w:ind w:right="-285" w:hanging="108"/>
              <w:jc w:val="center"/>
              <w:rPr>
                <w:b/>
                <w:color w:val="000000"/>
                <w:sz w:val="22"/>
                <w:szCs w:val="22"/>
              </w:rPr>
            </w:pPr>
            <w:r w:rsidRPr="00162068">
              <w:rPr>
                <w:b/>
                <w:color w:val="000000"/>
                <w:sz w:val="22"/>
                <w:szCs w:val="22"/>
              </w:rPr>
              <w:t>31/</w:t>
            </w:r>
            <w:r>
              <w:rPr>
                <w:b/>
                <w:color w:val="000000"/>
                <w:sz w:val="22"/>
                <w:szCs w:val="22"/>
              </w:rPr>
              <w:t>03</w:t>
            </w:r>
            <w:r w:rsidRPr="00162068">
              <w:rPr>
                <w:b/>
                <w:color w:val="000000"/>
                <w:sz w:val="22"/>
                <w:szCs w:val="22"/>
              </w:rPr>
              <w:t>/201</w:t>
            </w:r>
            <w:r>
              <w:rPr>
                <w:b/>
                <w:color w:val="000000"/>
                <w:sz w:val="22"/>
                <w:szCs w:val="22"/>
              </w:rPr>
              <w:t>5</w:t>
            </w:r>
          </w:p>
        </w:tc>
        <w:tc>
          <w:tcPr>
            <w:tcW w:w="760" w:type="pct"/>
            <w:tcBorders>
              <w:top w:val="single" w:sz="4" w:space="0" w:color="000000"/>
              <w:left w:val="single" w:sz="4" w:space="0" w:color="000000"/>
              <w:bottom w:val="single" w:sz="4" w:space="0" w:color="000000"/>
              <w:right w:val="single" w:sz="4" w:space="0" w:color="000000"/>
            </w:tcBorders>
            <w:vAlign w:val="center"/>
          </w:tcPr>
          <w:p w:rsidR="00B0154B" w:rsidRPr="00162068" w:rsidRDefault="00B0154B" w:rsidP="00B0154B">
            <w:pPr>
              <w:snapToGrid w:val="0"/>
              <w:ind w:right="-285" w:hanging="108"/>
              <w:jc w:val="center"/>
              <w:rPr>
                <w:b/>
                <w:color w:val="000000"/>
                <w:sz w:val="22"/>
                <w:szCs w:val="22"/>
              </w:rPr>
            </w:pPr>
            <w:r w:rsidRPr="00162068">
              <w:rPr>
                <w:b/>
                <w:color w:val="000000"/>
                <w:sz w:val="22"/>
                <w:szCs w:val="22"/>
              </w:rPr>
              <w:t>31/</w:t>
            </w:r>
            <w:r>
              <w:rPr>
                <w:b/>
                <w:color w:val="000000"/>
                <w:sz w:val="22"/>
                <w:szCs w:val="22"/>
              </w:rPr>
              <w:t>03</w:t>
            </w:r>
            <w:r w:rsidRPr="00162068">
              <w:rPr>
                <w:b/>
                <w:color w:val="000000"/>
                <w:sz w:val="22"/>
                <w:szCs w:val="22"/>
              </w:rPr>
              <w:t>/201</w:t>
            </w:r>
            <w:r>
              <w:rPr>
                <w:b/>
                <w:color w:val="000000"/>
                <w:sz w:val="22"/>
                <w:szCs w:val="22"/>
              </w:rPr>
              <w:t>4</w:t>
            </w:r>
          </w:p>
        </w:tc>
        <w:tc>
          <w:tcPr>
            <w:tcW w:w="816" w:type="pct"/>
            <w:tcBorders>
              <w:top w:val="single" w:sz="4" w:space="0" w:color="000000"/>
              <w:left w:val="single" w:sz="4" w:space="0" w:color="000000"/>
              <w:bottom w:val="single" w:sz="4" w:space="0" w:color="000000"/>
              <w:right w:val="single" w:sz="4" w:space="0" w:color="000000"/>
            </w:tcBorders>
            <w:vAlign w:val="center"/>
          </w:tcPr>
          <w:p w:rsidR="00B0154B" w:rsidRPr="00162068" w:rsidRDefault="00B0154B" w:rsidP="00B0154B">
            <w:pPr>
              <w:snapToGrid w:val="0"/>
              <w:ind w:right="-285" w:hanging="108"/>
              <w:jc w:val="center"/>
              <w:rPr>
                <w:b/>
                <w:color w:val="000000"/>
                <w:sz w:val="22"/>
                <w:szCs w:val="22"/>
              </w:rPr>
            </w:pPr>
            <w:r w:rsidRPr="00162068">
              <w:rPr>
                <w:b/>
                <w:color w:val="000000"/>
                <w:sz w:val="22"/>
                <w:szCs w:val="22"/>
              </w:rPr>
              <w:t>31/</w:t>
            </w:r>
            <w:r>
              <w:rPr>
                <w:b/>
                <w:color w:val="000000"/>
                <w:sz w:val="22"/>
                <w:szCs w:val="22"/>
              </w:rPr>
              <w:t>12</w:t>
            </w:r>
            <w:r w:rsidRPr="00162068">
              <w:rPr>
                <w:b/>
                <w:color w:val="000000"/>
                <w:sz w:val="22"/>
                <w:szCs w:val="22"/>
              </w:rPr>
              <w:t>/201</w:t>
            </w:r>
            <w:r>
              <w:rPr>
                <w:b/>
                <w:color w:val="000000"/>
                <w:sz w:val="22"/>
                <w:szCs w:val="22"/>
              </w:rPr>
              <w:t>4</w:t>
            </w:r>
          </w:p>
        </w:tc>
      </w:tr>
      <w:tr w:rsidR="00B0154B" w:rsidRPr="00162068" w:rsidTr="00B0154B">
        <w:trPr>
          <w:trHeight w:val="230"/>
          <w:jc w:val="center"/>
        </w:trPr>
        <w:tc>
          <w:tcPr>
            <w:tcW w:w="2565" w:type="pct"/>
            <w:tcBorders>
              <w:top w:val="single" w:sz="4" w:space="0" w:color="000000"/>
              <w:left w:val="single" w:sz="4" w:space="0" w:color="000000"/>
              <w:bottom w:val="single" w:sz="4" w:space="0" w:color="000000"/>
            </w:tcBorders>
            <w:vAlign w:val="center"/>
          </w:tcPr>
          <w:p w:rsidR="00B0154B" w:rsidRPr="00162068" w:rsidRDefault="00B0154B" w:rsidP="00B0154B">
            <w:pPr>
              <w:snapToGrid w:val="0"/>
              <w:ind w:right="-285"/>
              <w:jc w:val="center"/>
              <w:rPr>
                <w:color w:val="000000"/>
                <w:sz w:val="22"/>
                <w:szCs w:val="22"/>
              </w:rPr>
            </w:pPr>
            <w:r w:rsidRPr="00162068">
              <w:rPr>
                <w:color w:val="000000"/>
                <w:sz w:val="22"/>
                <w:szCs w:val="22"/>
              </w:rPr>
              <w:t>Indebitamento finanziario netto</w:t>
            </w:r>
          </w:p>
        </w:tc>
        <w:tc>
          <w:tcPr>
            <w:tcW w:w="859" w:type="pct"/>
            <w:tcBorders>
              <w:top w:val="single" w:sz="4" w:space="0" w:color="000000"/>
              <w:left w:val="single" w:sz="4" w:space="0" w:color="000000"/>
              <w:bottom w:val="single" w:sz="4" w:space="0" w:color="000000"/>
            </w:tcBorders>
            <w:vAlign w:val="center"/>
          </w:tcPr>
          <w:p w:rsidR="00B0154B" w:rsidRPr="00162068" w:rsidRDefault="00B0154B" w:rsidP="00B0154B">
            <w:pPr>
              <w:snapToGrid w:val="0"/>
              <w:ind w:right="-285" w:hanging="108"/>
              <w:jc w:val="center"/>
              <w:rPr>
                <w:color w:val="000000"/>
                <w:sz w:val="22"/>
                <w:szCs w:val="22"/>
              </w:rPr>
            </w:pPr>
            <w:r>
              <w:rPr>
                <w:color w:val="000000"/>
                <w:sz w:val="22"/>
                <w:szCs w:val="22"/>
              </w:rPr>
              <w:t>507,5</w:t>
            </w:r>
          </w:p>
        </w:tc>
        <w:tc>
          <w:tcPr>
            <w:tcW w:w="760" w:type="pct"/>
            <w:tcBorders>
              <w:top w:val="single" w:sz="4" w:space="0" w:color="000000"/>
              <w:left w:val="single" w:sz="4" w:space="0" w:color="000000"/>
              <w:bottom w:val="single" w:sz="4" w:space="0" w:color="000000"/>
              <w:right w:val="single" w:sz="4" w:space="0" w:color="000000"/>
            </w:tcBorders>
            <w:vAlign w:val="center"/>
          </w:tcPr>
          <w:p w:rsidR="00B0154B" w:rsidRPr="00162068" w:rsidRDefault="00B0154B" w:rsidP="00B0154B">
            <w:pPr>
              <w:snapToGrid w:val="0"/>
              <w:ind w:right="-285" w:hanging="108"/>
              <w:jc w:val="center"/>
              <w:rPr>
                <w:color w:val="000000"/>
                <w:sz w:val="22"/>
                <w:szCs w:val="22"/>
              </w:rPr>
            </w:pPr>
            <w:r>
              <w:rPr>
                <w:color w:val="000000"/>
                <w:sz w:val="22"/>
                <w:szCs w:val="22"/>
              </w:rPr>
              <w:t>520,8</w:t>
            </w:r>
          </w:p>
        </w:tc>
        <w:tc>
          <w:tcPr>
            <w:tcW w:w="816" w:type="pct"/>
            <w:tcBorders>
              <w:top w:val="single" w:sz="4" w:space="0" w:color="000000"/>
              <w:left w:val="single" w:sz="4" w:space="0" w:color="000000"/>
              <w:bottom w:val="single" w:sz="4" w:space="0" w:color="000000"/>
              <w:right w:val="single" w:sz="4" w:space="0" w:color="000000"/>
            </w:tcBorders>
            <w:vAlign w:val="center"/>
          </w:tcPr>
          <w:p w:rsidR="00B0154B" w:rsidRPr="00162068" w:rsidRDefault="00B0154B" w:rsidP="00B0154B">
            <w:pPr>
              <w:snapToGrid w:val="0"/>
              <w:ind w:right="-285" w:hanging="108"/>
              <w:jc w:val="center"/>
              <w:rPr>
                <w:color w:val="000000"/>
                <w:sz w:val="22"/>
                <w:szCs w:val="22"/>
              </w:rPr>
            </w:pPr>
            <w:r>
              <w:rPr>
                <w:color w:val="000000"/>
                <w:sz w:val="22"/>
                <w:szCs w:val="22"/>
              </w:rPr>
              <w:t>482,5</w:t>
            </w:r>
          </w:p>
        </w:tc>
      </w:tr>
    </w:tbl>
    <w:p w:rsidR="00315214" w:rsidRPr="00315214" w:rsidRDefault="004B2D8F" w:rsidP="002C4E1E">
      <w:pPr>
        <w:widowControl/>
        <w:suppressAutoHyphens w:val="0"/>
        <w:rPr>
          <w:sz w:val="22"/>
          <w:szCs w:val="22"/>
          <w:lang w:eastAsia="it-IT"/>
        </w:rPr>
      </w:pPr>
      <w:r>
        <w:rPr>
          <w:i/>
          <w:iCs/>
          <w:sz w:val="22"/>
          <w:szCs w:val="22"/>
          <w:lang w:eastAsia="it-IT"/>
        </w:rPr>
        <w:br w:type="page"/>
      </w:r>
      <w:r w:rsidR="00E05EBB">
        <w:rPr>
          <w:i/>
          <w:iCs/>
          <w:sz w:val="22"/>
          <w:szCs w:val="22"/>
          <w:lang w:eastAsia="it-IT"/>
        </w:rPr>
        <w:lastRenderedPageBreak/>
        <w:t>M</w:t>
      </w:r>
      <w:r w:rsidR="00315214" w:rsidRPr="00315214">
        <w:rPr>
          <w:i/>
          <w:iCs/>
          <w:sz w:val="22"/>
          <w:szCs w:val="22"/>
          <w:lang w:eastAsia="it-IT"/>
        </w:rPr>
        <w:t xml:space="preserve">ilano, </w:t>
      </w:r>
      <w:r w:rsidR="00901403">
        <w:rPr>
          <w:i/>
          <w:iCs/>
          <w:sz w:val="22"/>
          <w:szCs w:val="22"/>
          <w:lang w:eastAsia="it-IT"/>
        </w:rPr>
        <w:t>14 maggio</w:t>
      </w:r>
      <w:r w:rsidR="00B06000">
        <w:rPr>
          <w:i/>
          <w:iCs/>
          <w:sz w:val="22"/>
          <w:szCs w:val="22"/>
          <w:lang w:eastAsia="it-IT"/>
        </w:rPr>
        <w:t xml:space="preserve"> 2015</w:t>
      </w:r>
      <w:r w:rsidR="00315214" w:rsidRPr="00315214">
        <w:rPr>
          <w:sz w:val="22"/>
          <w:szCs w:val="22"/>
          <w:lang w:eastAsia="it-IT"/>
        </w:rPr>
        <w:t xml:space="preserve"> – Il Consiglio di Amministrazione di RCS </w:t>
      </w:r>
      <w:proofErr w:type="spellStart"/>
      <w:r w:rsidR="00315214" w:rsidRPr="00315214">
        <w:rPr>
          <w:sz w:val="22"/>
          <w:szCs w:val="22"/>
          <w:lang w:eastAsia="it-IT"/>
        </w:rPr>
        <w:t>MediaGroup</w:t>
      </w:r>
      <w:proofErr w:type="spellEnd"/>
      <w:r w:rsidR="00315214" w:rsidRPr="00315214">
        <w:rPr>
          <w:sz w:val="22"/>
          <w:szCs w:val="22"/>
          <w:lang w:eastAsia="it-IT"/>
        </w:rPr>
        <w:t xml:space="preserve">, riunitosi in data odierna sotto la presidenza di </w:t>
      </w:r>
      <w:r w:rsidR="00901403">
        <w:rPr>
          <w:sz w:val="22"/>
          <w:szCs w:val="22"/>
          <w:lang w:eastAsia="it-IT"/>
        </w:rPr>
        <w:t>Maurizio Costa</w:t>
      </w:r>
      <w:r w:rsidR="00315214" w:rsidRPr="00315214">
        <w:rPr>
          <w:sz w:val="22"/>
          <w:szCs w:val="22"/>
          <w:lang w:eastAsia="it-IT"/>
        </w:rPr>
        <w:t>, ha esaminat</w:t>
      </w:r>
      <w:r w:rsidR="00D408D8">
        <w:rPr>
          <w:sz w:val="22"/>
          <w:szCs w:val="22"/>
          <w:lang w:eastAsia="it-IT"/>
        </w:rPr>
        <w:t xml:space="preserve">o e approvato i risultati al </w:t>
      </w:r>
      <w:r w:rsidR="00B06000">
        <w:rPr>
          <w:sz w:val="22"/>
          <w:szCs w:val="22"/>
          <w:lang w:eastAsia="it-IT"/>
        </w:rPr>
        <w:t xml:space="preserve">31 </w:t>
      </w:r>
      <w:r w:rsidR="00901403">
        <w:rPr>
          <w:sz w:val="22"/>
          <w:szCs w:val="22"/>
          <w:lang w:eastAsia="it-IT"/>
        </w:rPr>
        <w:t>marzo 2015</w:t>
      </w:r>
      <w:r w:rsidR="001427F2">
        <w:rPr>
          <w:sz w:val="22"/>
          <w:szCs w:val="22"/>
          <w:lang w:eastAsia="it-IT"/>
        </w:rPr>
        <w:t>, come riportati nella tabella sopra</w:t>
      </w:r>
      <w:r w:rsidR="00121F57">
        <w:rPr>
          <w:sz w:val="22"/>
          <w:szCs w:val="22"/>
          <w:lang w:eastAsia="it-IT"/>
        </w:rPr>
        <w:t xml:space="preserve"> inserita, </w:t>
      </w:r>
      <w:r w:rsidR="001427F2">
        <w:rPr>
          <w:sz w:val="22"/>
          <w:szCs w:val="22"/>
          <w:lang w:eastAsia="it-IT"/>
        </w:rPr>
        <w:t>confrontati con quelli d</w:t>
      </w:r>
      <w:r w:rsidR="00901403">
        <w:rPr>
          <w:sz w:val="22"/>
          <w:szCs w:val="22"/>
          <w:lang w:eastAsia="it-IT"/>
        </w:rPr>
        <w:t xml:space="preserve">el pari periodo </w:t>
      </w:r>
      <w:r w:rsidR="001427F2">
        <w:rPr>
          <w:sz w:val="22"/>
          <w:szCs w:val="22"/>
          <w:lang w:eastAsia="it-IT"/>
        </w:rPr>
        <w:t>201</w:t>
      </w:r>
      <w:r w:rsidR="00901403">
        <w:rPr>
          <w:sz w:val="22"/>
          <w:szCs w:val="22"/>
          <w:lang w:eastAsia="it-IT"/>
        </w:rPr>
        <w:t>4</w:t>
      </w:r>
      <w:r w:rsidR="00315214" w:rsidRPr="00315214">
        <w:rPr>
          <w:sz w:val="22"/>
          <w:szCs w:val="22"/>
          <w:lang w:eastAsia="it-IT"/>
        </w:rPr>
        <w:t xml:space="preserve">. </w:t>
      </w:r>
    </w:p>
    <w:p w:rsidR="00351A87" w:rsidRDefault="00351A87" w:rsidP="00351A87">
      <w:pPr>
        <w:widowControl/>
        <w:suppressAutoHyphens w:val="0"/>
        <w:spacing w:before="100" w:beforeAutospacing="1" w:after="100" w:afterAutospacing="1"/>
        <w:jc w:val="both"/>
        <w:rPr>
          <w:b/>
          <w:bCs/>
          <w:sz w:val="22"/>
          <w:szCs w:val="22"/>
          <w:lang w:eastAsia="it-IT"/>
        </w:rPr>
      </w:pPr>
      <w:r w:rsidRPr="00351A87">
        <w:rPr>
          <w:b/>
          <w:bCs/>
          <w:sz w:val="22"/>
          <w:szCs w:val="22"/>
          <w:lang w:eastAsia="it-IT"/>
        </w:rPr>
        <w:t xml:space="preserve">Andamento del Gruppo al </w:t>
      </w:r>
      <w:r w:rsidR="00A1355B">
        <w:rPr>
          <w:b/>
          <w:bCs/>
          <w:sz w:val="22"/>
          <w:szCs w:val="22"/>
          <w:lang w:eastAsia="it-IT"/>
        </w:rPr>
        <w:t xml:space="preserve">31 </w:t>
      </w:r>
      <w:r w:rsidR="00901403">
        <w:rPr>
          <w:b/>
          <w:bCs/>
          <w:sz w:val="22"/>
          <w:szCs w:val="22"/>
          <w:lang w:eastAsia="it-IT"/>
        </w:rPr>
        <w:t>marzo 2015</w:t>
      </w:r>
    </w:p>
    <w:p w:rsidR="00B52B60" w:rsidRPr="00514EA3" w:rsidRDefault="00514EA3" w:rsidP="00351A87">
      <w:pPr>
        <w:widowControl/>
        <w:suppressAutoHyphens w:val="0"/>
        <w:spacing w:before="100" w:beforeAutospacing="1" w:after="100" w:afterAutospacing="1"/>
        <w:jc w:val="both"/>
        <w:rPr>
          <w:sz w:val="22"/>
          <w:szCs w:val="22"/>
          <w:lang w:eastAsia="it-IT"/>
        </w:rPr>
      </w:pPr>
      <w:r w:rsidRPr="00514EA3">
        <w:rPr>
          <w:sz w:val="22"/>
          <w:szCs w:val="22"/>
          <w:lang w:eastAsia="it-IT"/>
        </w:rPr>
        <w:t xml:space="preserve">Nei primi mesi del 2015 si evidenziano modesti segnali positivi sull’economia italiana, anche se le prospettive sono ancora caratterizzate da incertezza, mentre in Spagna continua il trend positivo già evidenziatosi durante il 2014. </w:t>
      </w:r>
      <w:r w:rsidR="00B52B60" w:rsidRPr="00514EA3">
        <w:rPr>
          <w:sz w:val="22"/>
          <w:szCs w:val="22"/>
          <w:lang w:eastAsia="it-IT"/>
        </w:rPr>
        <w:t>Tale andament</w:t>
      </w:r>
      <w:r w:rsidRPr="00514EA3">
        <w:rPr>
          <w:sz w:val="22"/>
          <w:szCs w:val="22"/>
          <w:lang w:eastAsia="it-IT"/>
        </w:rPr>
        <w:t>i</w:t>
      </w:r>
      <w:r w:rsidR="00B52B60" w:rsidRPr="00514EA3">
        <w:rPr>
          <w:sz w:val="22"/>
          <w:szCs w:val="22"/>
          <w:lang w:eastAsia="it-IT"/>
        </w:rPr>
        <w:t xml:space="preserve"> </w:t>
      </w:r>
      <w:r w:rsidRPr="00514EA3">
        <w:rPr>
          <w:sz w:val="22"/>
          <w:szCs w:val="22"/>
          <w:lang w:eastAsia="it-IT"/>
        </w:rPr>
        <w:t>non impattano ancora in modo significativo sul</w:t>
      </w:r>
      <w:r w:rsidR="00B52B60" w:rsidRPr="00514EA3">
        <w:rPr>
          <w:sz w:val="22"/>
          <w:szCs w:val="22"/>
          <w:lang w:eastAsia="it-IT"/>
        </w:rPr>
        <w:t xml:space="preserve"> mercato pubblicitario</w:t>
      </w:r>
      <w:r w:rsidRPr="00514EA3">
        <w:rPr>
          <w:sz w:val="22"/>
          <w:szCs w:val="22"/>
          <w:lang w:eastAsia="it-IT"/>
        </w:rPr>
        <w:t xml:space="preserve"> italiano</w:t>
      </w:r>
      <w:r w:rsidR="00B52B60" w:rsidRPr="00514EA3">
        <w:rPr>
          <w:sz w:val="22"/>
          <w:szCs w:val="22"/>
          <w:lang w:eastAsia="it-IT"/>
        </w:rPr>
        <w:t xml:space="preserve">, che </w:t>
      </w:r>
      <w:r w:rsidRPr="00514EA3">
        <w:rPr>
          <w:sz w:val="22"/>
          <w:szCs w:val="22"/>
          <w:lang w:eastAsia="it-IT"/>
        </w:rPr>
        <w:t xml:space="preserve">nel </w:t>
      </w:r>
      <w:r w:rsidR="00596744">
        <w:rPr>
          <w:sz w:val="22"/>
          <w:szCs w:val="22"/>
          <w:lang w:eastAsia="it-IT"/>
        </w:rPr>
        <w:t>trimestre</w:t>
      </w:r>
      <w:r w:rsidR="00596744" w:rsidRPr="00514EA3">
        <w:rPr>
          <w:sz w:val="22"/>
          <w:szCs w:val="22"/>
          <w:lang w:eastAsia="it-IT"/>
        </w:rPr>
        <w:t xml:space="preserve"> </w:t>
      </w:r>
      <w:r w:rsidRPr="00514EA3">
        <w:rPr>
          <w:sz w:val="22"/>
          <w:szCs w:val="22"/>
          <w:lang w:eastAsia="it-IT"/>
        </w:rPr>
        <w:t>gennaio-</w:t>
      </w:r>
      <w:r w:rsidR="00596744">
        <w:rPr>
          <w:sz w:val="22"/>
          <w:szCs w:val="22"/>
          <w:lang w:eastAsia="it-IT"/>
        </w:rPr>
        <w:t>marzo</w:t>
      </w:r>
      <w:r w:rsidR="00596744" w:rsidRPr="00514EA3">
        <w:rPr>
          <w:sz w:val="22"/>
          <w:szCs w:val="22"/>
          <w:lang w:eastAsia="it-IT"/>
        </w:rPr>
        <w:t xml:space="preserve"> </w:t>
      </w:r>
      <w:r w:rsidRPr="00514EA3">
        <w:rPr>
          <w:sz w:val="22"/>
          <w:szCs w:val="22"/>
          <w:lang w:eastAsia="it-IT"/>
        </w:rPr>
        <w:t>2015</w:t>
      </w:r>
      <w:r w:rsidR="00B52B60" w:rsidRPr="00514EA3">
        <w:rPr>
          <w:sz w:val="22"/>
          <w:szCs w:val="22"/>
          <w:lang w:eastAsia="it-IT"/>
        </w:rPr>
        <w:t xml:space="preserve"> evidenza una flessione del </w:t>
      </w:r>
      <w:r w:rsidR="00596744">
        <w:rPr>
          <w:sz w:val="22"/>
          <w:szCs w:val="22"/>
          <w:lang w:eastAsia="it-IT"/>
        </w:rPr>
        <w:t>2,1</w:t>
      </w:r>
      <w:r w:rsidR="00B52B60" w:rsidRPr="00514EA3">
        <w:rPr>
          <w:sz w:val="22"/>
          <w:szCs w:val="22"/>
          <w:lang w:eastAsia="it-IT"/>
        </w:rPr>
        <w:t>% (stampa -</w:t>
      </w:r>
      <w:r w:rsidR="00596744">
        <w:rPr>
          <w:sz w:val="22"/>
          <w:szCs w:val="22"/>
          <w:lang w:eastAsia="it-IT"/>
        </w:rPr>
        <w:t>5,8</w:t>
      </w:r>
      <w:r w:rsidR="00B52B60" w:rsidRPr="00514EA3">
        <w:rPr>
          <w:sz w:val="22"/>
          <w:szCs w:val="22"/>
          <w:lang w:eastAsia="it-IT"/>
        </w:rPr>
        <w:t xml:space="preserve">%, internet </w:t>
      </w:r>
      <w:r w:rsidRPr="00514EA3">
        <w:rPr>
          <w:sz w:val="22"/>
          <w:szCs w:val="22"/>
          <w:lang w:eastAsia="it-IT"/>
        </w:rPr>
        <w:t>-</w:t>
      </w:r>
      <w:r w:rsidR="00596744">
        <w:rPr>
          <w:sz w:val="22"/>
          <w:szCs w:val="22"/>
          <w:lang w:eastAsia="it-IT"/>
        </w:rPr>
        <w:t>2,4</w:t>
      </w:r>
      <w:r w:rsidR="00B52B60" w:rsidRPr="00514EA3">
        <w:rPr>
          <w:sz w:val="22"/>
          <w:szCs w:val="22"/>
          <w:lang w:eastAsia="it-IT"/>
        </w:rPr>
        <w:t xml:space="preserve">% -Fonte Nielsen), mentre in Spagna si registra un incremento complessivo del </w:t>
      </w:r>
      <w:r w:rsidRPr="00514EA3">
        <w:rPr>
          <w:sz w:val="22"/>
          <w:szCs w:val="22"/>
          <w:lang w:eastAsia="it-IT"/>
        </w:rPr>
        <w:t>7,4</w:t>
      </w:r>
      <w:r w:rsidR="00B52B60" w:rsidRPr="00514EA3">
        <w:rPr>
          <w:sz w:val="22"/>
          <w:szCs w:val="22"/>
          <w:lang w:eastAsia="it-IT"/>
        </w:rPr>
        <w:t xml:space="preserve">% (stampa </w:t>
      </w:r>
      <w:r w:rsidRPr="00514EA3">
        <w:rPr>
          <w:sz w:val="22"/>
          <w:szCs w:val="22"/>
          <w:lang w:eastAsia="it-IT"/>
        </w:rPr>
        <w:t>+0,9</w:t>
      </w:r>
      <w:r w:rsidR="00B52B60" w:rsidRPr="00514EA3">
        <w:rPr>
          <w:sz w:val="22"/>
          <w:szCs w:val="22"/>
          <w:lang w:eastAsia="it-IT"/>
        </w:rPr>
        <w:t>%, internet +</w:t>
      </w:r>
      <w:r w:rsidRPr="00514EA3">
        <w:rPr>
          <w:sz w:val="22"/>
          <w:szCs w:val="22"/>
          <w:lang w:eastAsia="it-IT"/>
        </w:rPr>
        <w:t>13,2</w:t>
      </w:r>
      <w:r w:rsidR="00B52B60" w:rsidRPr="00514EA3">
        <w:rPr>
          <w:sz w:val="22"/>
          <w:szCs w:val="22"/>
          <w:lang w:eastAsia="it-IT"/>
        </w:rPr>
        <w:t>% - fonte I2P/</w:t>
      </w:r>
      <w:proofErr w:type="spellStart"/>
      <w:r w:rsidR="00B52B60" w:rsidRPr="00514EA3">
        <w:rPr>
          <w:sz w:val="22"/>
          <w:szCs w:val="22"/>
          <w:lang w:eastAsia="it-IT"/>
        </w:rPr>
        <w:t>ArceMedia</w:t>
      </w:r>
      <w:proofErr w:type="spellEnd"/>
      <w:r w:rsidR="00B52B60" w:rsidRPr="00514EA3">
        <w:rPr>
          <w:sz w:val="22"/>
          <w:szCs w:val="22"/>
          <w:lang w:eastAsia="it-IT"/>
        </w:rPr>
        <w:t xml:space="preserve">). </w:t>
      </w:r>
    </w:p>
    <w:p w:rsidR="00304EF4" w:rsidRPr="00304EF4" w:rsidRDefault="00351A87" w:rsidP="00304EF4">
      <w:pPr>
        <w:jc w:val="both"/>
        <w:rPr>
          <w:sz w:val="22"/>
          <w:szCs w:val="22"/>
          <w:lang w:eastAsia="it-IT"/>
        </w:rPr>
      </w:pPr>
      <w:r w:rsidRPr="00254F78">
        <w:rPr>
          <w:sz w:val="22"/>
          <w:szCs w:val="22"/>
          <w:lang w:eastAsia="it-IT"/>
        </w:rPr>
        <w:t xml:space="preserve">Il Gruppo RCS ha </w:t>
      </w:r>
      <w:r w:rsidR="00514EA3" w:rsidRPr="00254F78">
        <w:rPr>
          <w:sz w:val="22"/>
          <w:szCs w:val="22"/>
          <w:lang w:eastAsia="it-IT"/>
        </w:rPr>
        <w:t>proseguito nell’implementazione delle linee guida, basate</w:t>
      </w:r>
      <w:r w:rsidRPr="00254F78">
        <w:rPr>
          <w:sz w:val="22"/>
          <w:szCs w:val="22"/>
          <w:lang w:eastAsia="it-IT"/>
        </w:rPr>
        <w:t xml:space="preserve"> su </w:t>
      </w:r>
      <w:r w:rsidRPr="00254F78">
        <w:rPr>
          <w:b/>
          <w:sz w:val="22"/>
          <w:szCs w:val="22"/>
          <w:lang w:eastAsia="it-IT"/>
        </w:rPr>
        <w:t xml:space="preserve">investimenti </w:t>
      </w:r>
      <w:r w:rsidR="00514EA3" w:rsidRPr="00254F78">
        <w:rPr>
          <w:b/>
          <w:sz w:val="22"/>
          <w:szCs w:val="22"/>
          <w:lang w:eastAsia="it-IT"/>
        </w:rPr>
        <w:t xml:space="preserve">strategici, efficienze </w:t>
      </w:r>
      <w:r w:rsidRPr="00254F78">
        <w:rPr>
          <w:b/>
          <w:sz w:val="22"/>
          <w:szCs w:val="22"/>
          <w:lang w:eastAsia="it-IT"/>
        </w:rPr>
        <w:t>e focalizzazione</w:t>
      </w:r>
      <w:r w:rsidRPr="00254F78">
        <w:rPr>
          <w:sz w:val="22"/>
          <w:szCs w:val="22"/>
          <w:lang w:eastAsia="it-IT"/>
        </w:rPr>
        <w:t xml:space="preserve"> in ambito multimediale per il continuo sviluppo del core business. </w:t>
      </w:r>
      <w:r w:rsidR="00514EA3" w:rsidRPr="00254F78">
        <w:rPr>
          <w:sz w:val="22"/>
          <w:szCs w:val="22"/>
          <w:lang w:eastAsia="it-IT"/>
        </w:rPr>
        <w:t>Nei primi mesi del 2015</w:t>
      </w:r>
      <w:r w:rsidRPr="00254F78">
        <w:rPr>
          <w:sz w:val="22"/>
          <w:szCs w:val="22"/>
          <w:lang w:eastAsia="it-IT"/>
        </w:rPr>
        <w:t xml:space="preserve"> il Gruppo RCS ha continuato a perseguire </w:t>
      </w:r>
      <w:proofErr w:type="gramStart"/>
      <w:r w:rsidRPr="00254F78">
        <w:rPr>
          <w:sz w:val="22"/>
          <w:szCs w:val="22"/>
          <w:lang w:eastAsia="it-IT"/>
        </w:rPr>
        <w:t xml:space="preserve">il  </w:t>
      </w:r>
      <w:r w:rsidR="00B52B60" w:rsidRPr="00254F78">
        <w:rPr>
          <w:sz w:val="22"/>
          <w:szCs w:val="22"/>
          <w:lang w:eastAsia="it-IT"/>
        </w:rPr>
        <w:t>rafforz</w:t>
      </w:r>
      <w:r w:rsidRPr="00254F78">
        <w:rPr>
          <w:sz w:val="22"/>
          <w:szCs w:val="22"/>
          <w:lang w:eastAsia="it-IT"/>
        </w:rPr>
        <w:t>amento</w:t>
      </w:r>
      <w:proofErr w:type="gramEnd"/>
      <w:r w:rsidRPr="00254F78">
        <w:rPr>
          <w:sz w:val="22"/>
          <w:szCs w:val="22"/>
          <w:lang w:eastAsia="it-IT"/>
        </w:rPr>
        <w:t xml:space="preserve">  dei core business editoriali, l’arricchimento dell’offerta digitale, il potenziamento del valore dei marchi editoriali e lo sviluppo dei ricavi da eventi, soprattutto in ambito sportivo</w:t>
      </w:r>
      <w:r w:rsidR="00306F3B" w:rsidRPr="00254F78">
        <w:rPr>
          <w:sz w:val="22"/>
          <w:szCs w:val="22"/>
          <w:lang w:eastAsia="it-IT"/>
        </w:rPr>
        <w:t xml:space="preserve">, </w:t>
      </w:r>
      <w:r w:rsidR="00514EA3" w:rsidRPr="00254F78">
        <w:rPr>
          <w:sz w:val="22"/>
          <w:szCs w:val="22"/>
          <w:lang w:eastAsia="it-IT"/>
        </w:rPr>
        <w:t xml:space="preserve">destinando nel solo primo trimestre dell’anno circa </w:t>
      </w:r>
      <w:r w:rsidR="00514EA3" w:rsidRPr="00254F78">
        <w:rPr>
          <w:b/>
          <w:sz w:val="22"/>
          <w:szCs w:val="22"/>
          <w:lang w:eastAsia="it-IT"/>
        </w:rPr>
        <w:t>15 milioni di Euro in</w:t>
      </w:r>
      <w:r w:rsidR="00306F3B" w:rsidRPr="00254F78">
        <w:rPr>
          <w:b/>
          <w:sz w:val="22"/>
          <w:szCs w:val="22"/>
          <w:lang w:eastAsia="it-IT"/>
        </w:rPr>
        <w:t xml:space="preserve"> </w:t>
      </w:r>
      <w:r w:rsidR="00A73FA4">
        <w:rPr>
          <w:b/>
          <w:sz w:val="22"/>
          <w:szCs w:val="22"/>
          <w:lang w:eastAsia="it-IT"/>
        </w:rPr>
        <w:t>investimenti</w:t>
      </w:r>
      <w:r w:rsidRPr="00254F78">
        <w:rPr>
          <w:sz w:val="22"/>
          <w:szCs w:val="22"/>
          <w:lang w:eastAsia="it-IT"/>
        </w:rPr>
        <w:t>.</w:t>
      </w:r>
      <w:r w:rsidRPr="00351A87">
        <w:rPr>
          <w:sz w:val="22"/>
          <w:szCs w:val="22"/>
          <w:lang w:eastAsia="it-IT"/>
        </w:rPr>
        <w:t xml:space="preserve"> </w:t>
      </w:r>
      <w:r w:rsidR="002C4B60" w:rsidRPr="007C4D03">
        <w:rPr>
          <w:sz w:val="22"/>
          <w:szCs w:val="22"/>
          <w:lang w:eastAsia="it-IT"/>
        </w:rPr>
        <w:t xml:space="preserve">Il Gruppo ha </w:t>
      </w:r>
      <w:r w:rsidR="002C4B60">
        <w:rPr>
          <w:sz w:val="22"/>
          <w:szCs w:val="22"/>
          <w:lang w:eastAsia="it-IT"/>
        </w:rPr>
        <w:t>parallelamente perseguito</w:t>
      </w:r>
      <w:r w:rsidR="002C4B60" w:rsidRPr="007C4D03">
        <w:rPr>
          <w:sz w:val="22"/>
          <w:szCs w:val="22"/>
          <w:lang w:eastAsia="it-IT"/>
        </w:rPr>
        <w:t xml:space="preserve"> con determinazione le </w:t>
      </w:r>
      <w:r w:rsidR="002C4B60" w:rsidRPr="007C4D03">
        <w:rPr>
          <w:b/>
          <w:bCs/>
          <w:sz w:val="22"/>
          <w:szCs w:val="22"/>
          <w:lang w:eastAsia="it-IT"/>
        </w:rPr>
        <w:t xml:space="preserve">azioni di efficienza </w:t>
      </w:r>
      <w:r w:rsidR="00634582">
        <w:rPr>
          <w:b/>
          <w:bCs/>
          <w:sz w:val="22"/>
          <w:szCs w:val="22"/>
          <w:lang w:eastAsia="it-IT"/>
        </w:rPr>
        <w:t>strutturali</w:t>
      </w:r>
      <w:r w:rsidR="00B10BED" w:rsidRPr="00D26308">
        <w:rPr>
          <w:bCs/>
          <w:sz w:val="22"/>
          <w:szCs w:val="22"/>
          <w:lang w:eastAsia="it-IT"/>
        </w:rPr>
        <w:t>,</w:t>
      </w:r>
      <w:r w:rsidR="00634582" w:rsidRPr="00D26308">
        <w:rPr>
          <w:bCs/>
          <w:sz w:val="22"/>
          <w:szCs w:val="22"/>
          <w:lang w:eastAsia="it-IT"/>
        </w:rPr>
        <w:t xml:space="preserve"> </w:t>
      </w:r>
      <w:r w:rsidR="00B10BED" w:rsidRPr="00D26308">
        <w:rPr>
          <w:bCs/>
          <w:sz w:val="22"/>
          <w:szCs w:val="22"/>
          <w:lang w:eastAsia="it-IT"/>
        </w:rPr>
        <w:t xml:space="preserve">che </w:t>
      </w:r>
      <w:r w:rsidR="002C4B60" w:rsidRPr="007C4D03">
        <w:rPr>
          <w:sz w:val="22"/>
          <w:szCs w:val="22"/>
          <w:lang w:eastAsia="it-IT"/>
        </w:rPr>
        <w:t xml:space="preserve">hanno </w:t>
      </w:r>
      <w:r w:rsidR="00304EF4">
        <w:rPr>
          <w:sz w:val="22"/>
          <w:szCs w:val="22"/>
          <w:lang w:eastAsia="it-IT"/>
        </w:rPr>
        <w:t>generato</w:t>
      </w:r>
      <w:r w:rsidR="002C4B60" w:rsidRPr="007C4D03">
        <w:rPr>
          <w:sz w:val="22"/>
          <w:szCs w:val="22"/>
          <w:lang w:eastAsia="it-IT"/>
        </w:rPr>
        <w:t xml:space="preserve"> nei primi tre mesi dell’anno a </w:t>
      </w:r>
      <w:r w:rsidR="002C4B60" w:rsidRPr="00304EF4">
        <w:rPr>
          <w:sz w:val="22"/>
          <w:szCs w:val="22"/>
          <w:lang w:eastAsia="it-IT"/>
        </w:rPr>
        <w:t>benefici per 13 milioni</w:t>
      </w:r>
      <w:r w:rsidR="002C4B60" w:rsidRPr="007C4D03">
        <w:rPr>
          <w:sz w:val="22"/>
          <w:szCs w:val="22"/>
          <w:lang w:eastAsia="it-IT"/>
        </w:rPr>
        <w:t xml:space="preserve"> di Eur</w:t>
      </w:r>
      <w:r w:rsidR="002C4B60" w:rsidRPr="00FF41E7">
        <w:rPr>
          <w:sz w:val="22"/>
          <w:szCs w:val="22"/>
          <w:lang w:eastAsia="it-IT"/>
        </w:rPr>
        <w:t>o</w:t>
      </w:r>
      <w:r w:rsidR="00304EF4" w:rsidRPr="00E4773F">
        <w:rPr>
          <w:sz w:val="22"/>
          <w:szCs w:val="22"/>
          <w:lang w:eastAsia="it-IT"/>
        </w:rPr>
        <w:t xml:space="preserve">, portando a un progressivo di 177 milioni, in linea con l’obiettivo </w:t>
      </w:r>
      <w:r w:rsidR="007014D3" w:rsidRPr="00E84BDE">
        <w:rPr>
          <w:sz w:val="22"/>
          <w:szCs w:val="22"/>
          <w:lang w:eastAsia="it-IT"/>
        </w:rPr>
        <w:t>per il triennio (220 milioni).</w:t>
      </w:r>
    </w:p>
    <w:p w:rsidR="00304EF4" w:rsidRDefault="00304EF4" w:rsidP="00304EF4">
      <w:pPr>
        <w:jc w:val="both"/>
        <w:rPr>
          <w:sz w:val="22"/>
          <w:szCs w:val="22"/>
          <w:lang w:eastAsia="it-IT"/>
        </w:rPr>
      </w:pPr>
    </w:p>
    <w:p w:rsidR="00901403" w:rsidRDefault="00901403" w:rsidP="00901403">
      <w:pPr>
        <w:jc w:val="both"/>
        <w:rPr>
          <w:sz w:val="22"/>
          <w:szCs w:val="22"/>
        </w:rPr>
      </w:pPr>
      <w:r w:rsidRPr="00901403">
        <w:rPr>
          <w:sz w:val="22"/>
          <w:szCs w:val="22"/>
          <w:lang w:eastAsia="it-IT"/>
        </w:rPr>
        <w:t xml:space="preserve">Nel trimestre e nei mesi successivi sono </w:t>
      </w:r>
      <w:r w:rsidR="002C4B60">
        <w:rPr>
          <w:sz w:val="22"/>
          <w:szCs w:val="22"/>
          <w:lang w:eastAsia="it-IT"/>
        </w:rPr>
        <w:t xml:space="preserve">quindi </w:t>
      </w:r>
      <w:r w:rsidRPr="00901403">
        <w:rPr>
          <w:sz w:val="22"/>
          <w:szCs w:val="22"/>
          <w:lang w:eastAsia="it-IT"/>
        </w:rPr>
        <w:t xml:space="preserve">continuate le azioni in ambito di potenziamento editoriale e di arricchimento della proposta digitale per i Sistemi </w:t>
      </w:r>
      <w:r w:rsidRPr="00901403">
        <w:rPr>
          <w:i/>
          <w:iCs/>
          <w:sz w:val="22"/>
          <w:szCs w:val="22"/>
          <w:lang w:eastAsia="it-IT"/>
        </w:rPr>
        <w:t>Corriere della Sera</w:t>
      </w:r>
      <w:r w:rsidRPr="00901403">
        <w:rPr>
          <w:sz w:val="22"/>
          <w:szCs w:val="22"/>
          <w:lang w:eastAsia="it-IT"/>
        </w:rPr>
        <w:t xml:space="preserve"> e </w:t>
      </w:r>
      <w:r w:rsidRPr="00901403">
        <w:rPr>
          <w:i/>
          <w:iCs/>
          <w:sz w:val="22"/>
          <w:szCs w:val="22"/>
          <w:lang w:eastAsia="it-IT"/>
        </w:rPr>
        <w:t>La Gazzetta dello Sport</w:t>
      </w:r>
      <w:r w:rsidRPr="00901403">
        <w:rPr>
          <w:sz w:val="22"/>
          <w:szCs w:val="22"/>
          <w:lang w:eastAsia="it-IT"/>
        </w:rPr>
        <w:t xml:space="preserve">, nell’ottica del rafforzamento dei canali verticali con il lancio di nuove aree tematiche, web </w:t>
      </w:r>
      <w:proofErr w:type="spellStart"/>
      <w:r w:rsidRPr="00901403">
        <w:rPr>
          <w:sz w:val="22"/>
          <w:szCs w:val="22"/>
          <w:lang w:eastAsia="it-IT"/>
        </w:rPr>
        <w:t>series</w:t>
      </w:r>
      <w:proofErr w:type="spellEnd"/>
      <w:r w:rsidRPr="00901403">
        <w:rPr>
          <w:sz w:val="22"/>
          <w:szCs w:val="22"/>
          <w:lang w:eastAsia="it-IT"/>
        </w:rPr>
        <w:t xml:space="preserve"> e iniziative legate in particolar modo al </w:t>
      </w:r>
      <w:r w:rsidRPr="00901403">
        <w:rPr>
          <w:b/>
          <w:bCs/>
          <w:sz w:val="22"/>
          <w:szCs w:val="22"/>
          <w:lang w:eastAsia="it-IT"/>
        </w:rPr>
        <w:t>70esimo anniversario della Liberazione</w:t>
      </w:r>
      <w:r w:rsidRPr="00901403">
        <w:rPr>
          <w:sz w:val="22"/>
          <w:szCs w:val="22"/>
          <w:lang w:eastAsia="it-IT"/>
        </w:rPr>
        <w:t xml:space="preserve"> e </w:t>
      </w:r>
      <w:r w:rsidR="002A35A8">
        <w:rPr>
          <w:sz w:val="22"/>
          <w:szCs w:val="22"/>
          <w:lang w:eastAsia="it-IT"/>
        </w:rPr>
        <w:t>all’avvio</w:t>
      </w:r>
      <w:r w:rsidRPr="00901403">
        <w:rPr>
          <w:sz w:val="22"/>
          <w:szCs w:val="22"/>
          <w:lang w:eastAsia="it-IT"/>
        </w:rPr>
        <w:t xml:space="preserve"> di </w:t>
      </w:r>
      <w:r w:rsidRPr="004C14FE">
        <w:rPr>
          <w:b/>
          <w:sz w:val="22"/>
          <w:szCs w:val="22"/>
          <w:lang w:eastAsia="it-IT"/>
        </w:rPr>
        <w:t xml:space="preserve">Expo </w:t>
      </w:r>
      <w:r w:rsidRPr="00901403">
        <w:rPr>
          <w:b/>
          <w:bCs/>
          <w:sz w:val="22"/>
          <w:szCs w:val="22"/>
          <w:lang w:eastAsia="it-IT"/>
        </w:rPr>
        <w:t>2015</w:t>
      </w:r>
      <w:r w:rsidRPr="00901403">
        <w:rPr>
          <w:sz w:val="22"/>
          <w:szCs w:val="22"/>
          <w:lang w:eastAsia="it-IT"/>
        </w:rPr>
        <w:t xml:space="preserve">. Da sottolineare l’apertura di </w:t>
      </w:r>
      <w:r w:rsidR="002A35A8">
        <w:rPr>
          <w:sz w:val="22"/>
          <w:szCs w:val="22"/>
          <w:lang w:eastAsia="it-IT"/>
        </w:rPr>
        <w:t>“</w:t>
      </w:r>
      <w:r w:rsidRPr="00901403">
        <w:rPr>
          <w:b/>
          <w:bCs/>
          <w:sz w:val="22"/>
          <w:szCs w:val="22"/>
          <w:lang w:eastAsia="it-IT"/>
        </w:rPr>
        <w:t>Casa Corriere</w:t>
      </w:r>
      <w:r w:rsidR="002A35A8">
        <w:rPr>
          <w:b/>
          <w:bCs/>
          <w:sz w:val="22"/>
          <w:szCs w:val="22"/>
          <w:lang w:eastAsia="it-IT"/>
        </w:rPr>
        <w:t>”</w:t>
      </w:r>
      <w:r w:rsidRPr="00901403">
        <w:rPr>
          <w:sz w:val="22"/>
          <w:szCs w:val="22"/>
          <w:lang w:eastAsia="it-IT"/>
        </w:rPr>
        <w:t xml:space="preserve"> all’interno di Expo </w:t>
      </w:r>
      <w:proofErr w:type="gramStart"/>
      <w:r w:rsidRPr="00901403">
        <w:rPr>
          <w:sz w:val="22"/>
          <w:szCs w:val="22"/>
          <w:lang w:eastAsia="it-IT"/>
        </w:rPr>
        <w:t>e</w:t>
      </w:r>
      <w:r w:rsidRPr="00901403">
        <w:rPr>
          <w:color w:val="1F497D"/>
          <w:sz w:val="22"/>
          <w:szCs w:val="22"/>
          <w:lang w:eastAsia="it-IT"/>
        </w:rPr>
        <w:t xml:space="preserve"> </w:t>
      </w:r>
      <w:r w:rsidRPr="00901403">
        <w:rPr>
          <w:sz w:val="22"/>
          <w:szCs w:val="22"/>
          <w:lang w:eastAsia="it-IT"/>
        </w:rPr>
        <w:t> il</w:t>
      </w:r>
      <w:proofErr w:type="gramEnd"/>
      <w:r w:rsidRPr="00901403">
        <w:rPr>
          <w:sz w:val="22"/>
          <w:szCs w:val="22"/>
          <w:lang w:eastAsia="it-IT"/>
        </w:rPr>
        <w:t xml:space="preserve"> numero speciale di </w:t>
      </w:r>
      <w:r w:rsidRPr="00901403">
        <w:rPr>
          <w:i/>
          <w:iCs/>
          <w:sz w:val="22"/>
          <w:szCs w:val="22"/>
          <w:lang w:eastAsia="it-IT"/>
        </w:rPr>
        <w:t>Corriere della Sera</w:t>
      </w:r>
      <w:r w:rsidRPr="00901403">
        <w:rPr>
          <w:sz w:val="22"/>
          <w:szCs w:val="22"/>
          <w:lang w:eastAsia="it-IT"/>
        </w:rPr>
        <w:t>, “</w:t>
      </w:r>
      <w:r w:rsidRPr="00901403">
        <w:rPr>
          <w:b/>
          <w:bCs/>
          <w:i/>
          <w:iCs/>
          <w:sz w:val="22"/>
          <w:szCs w:val="22"/>
          <w:lang w:eastAsia="it-IT"/>
        </w:rPr>
        <w:t>Orizzonti Expo</w:t>
      </w:r>
      <w:r w:rsidRPr="00901403">
        <w:rPr>
          <w:sz w:val="22"/>
          <w:szCs w:val="22"/>
          <w:lang w:eastAsia="it-IT"/>
        </w:rPr>
        <w:t xml:space="preserve">”, distribuito gratuitamente in 4,5 milioni di copie in occasione dell’apertura della manifestazione. A marzo è stato lanciato il </w:t>
      </w:r>
      <w:r w:rsidRPr="00901403">
        <w:rPr>
          <w:b/>
          <w:bCs/>
          <w:sz w:val="22"/>
          <w:szCs w:val="22"/>
          <w:lang w:eastAsia="it-IT"/>
        </w:rPr>
        <w:t>nuovo sito</w:t>
      </w:r>
      <w:r w:rsidRPr="00901403">
        <w:rPr>
          <w:sz w:val="22"/>
          <w:szCs w:val="22"/>
          <w:lang w:eastAsia="it-IT"/>
        </w:rPr>
        <w:t xml:space="preserve"> di </w:t>
      </w:r>
      <w:proofErr w:type="spellStart"/>
      <w:r w:rsidRPr="00901403">
        <w:rPr>
          <w:b/>
          <w:bCs/>
          <w:i/>
          <w:iCs/>
          <w:sz w:val="22"/>
          <w:szCs w:val="22"/>
          <w:lang w:eastAsia="it-IT"/>
        </w:rPr>
        <w:t>Expansiòn</w:t>
      </w:r>
      <w:proofErr w:type="spellEnd"/>
      <w:r w:rsidRPr="00901403">
        <w:rPr>
          <w:i/>
          <w:iCs/>
          <w:sz w:val="22"/>
          <w:szCs w:val="22"/>
          <w:lang w:eastAsia="it-IT"/>
        </w:rPr>
        <w:t xml:space="preserve">, </w:t>
      </w:r>
      <w:r w:rsidRPr="00901403">
        <w:rPr>
          <w:sz w:val="22"/>
          <w:szCs w:val="22"/>
          <w:lang w:eastAsia="it-IT"/>
        </w:rPr>
        <w:t>il quotidiano</w:t>
      </w:r>
      <w:r w:rsidRPr="00901403">
        <w:rPr>
          <w:b/>
          <w:bCs/>
          <w:i/>
          <w:iCs/>
          <w:sz w:val="22"/>
          <w:szCs w:val="22"/>
          <w:lang w:eastAsia="it-IT"/>
        </w:rPr>
        <w:t xml:space="preserve"> </w:t>
      </w:r>
      <w:r w:rsidRPr="00901403">
        <w:rPr>
          <w:sz w:val="22"/>
          <w:szCs w:val="22"/>
          <w:lang w:eastAsia="it-IT"/>
        </w:rPr>
        <w:t>della economico leader in Spagna</w:t>
      </w:r>
      <w:r w:rsidRPr="00901403">
        <w:rPr>
          <w:color w:val="1F497D"/>
          <w:sz w:val="22"/>
          <w:szCs w:val="22"/>
          <w:lang w:eastAsia="it-IT"/>
        </w:rPr>
        <w:t xml:space="preserve">, </w:t>
      </w:r>
      <w:r w:rsidRPr="00901403">
        <w:rPr>
          <w:sz w:val="22"/>
          <w:szCs w:val="22"/>
          <w:lang w:eastAsia="it-IT"/>
        </w:rPr>
        <w:t xml:space="preserve">mentre il mese successivo ha debuttato </w:t>
      </w:r>
      <w:r w:rsidRPr="00901403">
        <w:rPr>
          <w:b/>
          <w:bCs/>
          <w:i/>
          <w:iCs/>
          <w:sz w:val="22"/>
          <w:szCs w:val="22"/>
          <w:lang w:eastAsia="it-IT"/>
        </w:rPr>
        <w:t>Marca Buzz</w:t>
      </w:r>
      <w:r w:rsidRPr="00901403">
        <w:rPr>
          <w:sz w:val="22"/>
          <w:szCs w:val="22"/>
          <w:lang w:eastAsia="it-IT"/>
        </w:rPr>
        <w:t xml:space="preserve">, il nuovo portale di sport e intrattenimento di </w:t>
      </w:r>
      <w:r w:rsidRPr="00901403">
        <w:rPr>
          <w:i/>
          <w:iCs/>
          <w:sz w:val="22"/>
          <w:szCs w:val="22"/>
          <w:lang w:eastAsia="it-IT"/>
        </w:rPr>
        <w:t>Marca</w:t>
      </w:r>
      <w:r w:rsidRPr="00901403">
        <w:rPr>
          <w:sz w:val="22"/>
          <w:szCs w:val="22"/>
          <w:lang w:eastAsia="it-IT"/>
        </w:rPr>
        <w:t xml:space="preserve"> dedicato a un target giovane. Anche </w:t>
      </w:r>
      <w:r w:rsidRPr="00901403">
        <w:rPr>
          <w:i/>
          <w:iCs/>
          <w:sz w:val="22"/>
          <w:szCs w:val="22"/>
          <w:lang w:eastAsia="it-IT"/>
        </w:rPr>
        <w:t>La Gazzetta dello Sport</w:t>
      </w:r>
      <w:r w:rsidRPr="00901403">
        <w:rPr>
          <w:sz w:val="22"/>
          <w:szCs w:val="22"/>
          <w:lang w:eastAsia="it-IT"/>
        </w:rPr>
        <w:t xml:space="preserve"> ha rivoluzionato a 360° la sua offerta arricchendosi con il lancio di </w:t>
      </w:r>
      <w:proofErr w:type="spellStart"/>
      <w:r w:rsidRPr="00901403">
        <w:rPr>
          <w:b/>
          <w:bCs/>
          <w:sz w:val="22"/>
          <w:szCs w:val="22"/>
          <w:lang w:eastAsia="it-IT"/>
        </w:rPr>
        <w:t>GazzettaTV</w:t>
      </w:r>
      <w:proofErr w:type="spellEnd"/>
      <w:r w:rsidRPr="00901403">
        <w:rPr>
          <w:sz w:val="22"/>
          <w:szCs w:val="22"/>
          <w:lang w:eastAsia="it-IT"/>
        </w:rPr>
        <w:t xml:space="preserve">, </w:t>
      </w:r>
      <w:r w:rsidR="002A35A8">
        <w:rPr>
          <w:sz w:val="22"/>
          <w:szCs w:val="22"/>
          <w:lang w:eastAsia="it-IT"/>
        </w:rPr>
        <w:t xml:space="preserve">in onda dal </w:t>
      </w:r>
      <w:r w:rsidRPr="00901403">
        <w:rPr>
          <w:sz w:val="22"/>
          <w:szCs w:val="22"/>
          <w:lang w:eastAsia="it-IT"/>
        </w:rPr>
        <w:t>26 febbraio 2015 sul canale 59 del digitale terrestre</w:t>
      </w:r>
      <w:r w:rsidRPr="00901403">
        <w:rPr>
          <w:color w:val="1F497D"/>
          <w:sz w:val="22"/>
          <w:szCs w:val="22"/>
          <w:lang w:eastAsia="it-IT"/>
        </w:rPr>
        <w:t xml:space="preserve">, </w:t>
      </w:r>
      <w:r w:rsidRPr="00901403">
        <w:rPr>
          <w:sz w:val="22"/>
          <w:szCs w:val="22"/>
          <w:lang w:eastAsia="it-IT"/>
        </w:rPr>
        <w:t>mentre sull’on</w:t>
      </w:r>
      <w:r w:rsidR="00A718E1">
        <w:rPr>
          <w:sz w:val="22"/>
          <w:szCs w:val="22"/>
          <w:lang w:eastAsia="it-IT"/>
        </w:rPr>
        <w:t>-</w:t>
      </w:r>
      <w:r w:rsidRPr="00901403">
        <w:rPr>
          <w:sz w:val="22"/>
          <w:szCs w:val="22"/>
          <w:lang w:eastAsia="it-IT"/>
        </w:rPr>
        <w:t xml:space="preserve">line è partito </w:t>
      </w:r>
      <w:proofErr w:type="spellStart"/>
      <w:r w:rsidRPr="00901403">
        <w:rPr>
          <w:b/>
          <w:sz w:val="22"/>
          <w:szCs w:val="22"/>
          <w:lang w:eastAsia="it-IT"/>
        </w:rPr>
        <w:t>YouReporter</w:t>
      </w:r>
      <w:proofErr w:type="spellEnd"/>
      <w:r w:rsidRPr="00901403">
        <w:rPr>
          <w:b/>
          <w:sz w:val="22"/>
          <w:szCs w:val="22"/>
          <w:lang w:eastAsia="it-IT"/>
        </w:rPr>
        <w:t xml:space="preserve"> Sport</w:t>
      </w:r>
      <w:r w:rsidRPr="00901403">
        <w:rPr>
          <w:sz w:val="22"/>
          <w:szCs w:val="22"/>
          <w:lang w:eastAsia="it-IT"/>
        </w:rPr>
        <w:t xml:space="preserve">. Numerose le iniziative anche sul fronte dei periodici con il </w:t>
      </w:r>
      <w:r w:rsidRPr="00901403">
        <w:rPr>
          <w:bCs/>
          <w:sz w:val="22"/>
          <w:szCs w:val="22"/>
          <w:lang w:eastAsia="it-IT"/>
        </w:rPr>
        <w:t>restyling del sito</w:t>
      </w:r>
      <w:r w:rsidRPr="00901403">
        <w:rPr>
          <w:b/>
          <w:bCs/>
          <w:sz w:val="22"/>
          <w:szCs w:val="22"/>
          <w:lang w:eastAsia="it-IT"/>
        </w:rPr>
        <w:t xml:space="preserve"> </w:t>
      </w:r>
      <w:r w:rsidRPr="00901403">
        <w:rPr>
          <w:b/>
          <w:bCs/>
          <w:i/>
          <w:iCs/>
          <w:sz w:val="22"/>
          <w:szCs w:val="22"/>
          <w:lang w:eastAsia="it-IT"/>
        </w:rPr>
        <w:t>iodonna.it</w:t>
      </w:r>
      <w:r w:rsidRPr="00901403">
        <w:rPr>
          <w:sz w:val="22"/>
          <w:szCs w:val="22"/>
          <w:lang w:eastAsia="it-IT"/>
        </w:rPr>
        <w:t xml:space="preserve">, la trasformazione del sistema multimediale </w:t>
      </w:r>
      <w:r w:rsidRPr="00901403">
        <w:rPr>
          <w:i/>
          <w:iCs/>
          <w:sz w:val="22"/>
          <w:szCs w:val="22"/>
          <w:lang w:eastAsia="it-IT"/>
        </w:rPr>
        <w:t>Dove,</w:t>
      </w:r>
      <w:r w:rsidRPr="00901403">
        <w:rPr>
          <w:sz w:val="22"/>
          <w:szCs w:val="22"/>
          <w:lang w:eastAsia="it-IT"/>
        </w:rPr>
        <w:t xml:space="preserve"> il lancio del </w:t>
      </w:r>
      <w:r w:rsidRPr="00901403">
        <w:rPr>
          <w:bCs/>
          <w:sz w:val="22"/>
          <w:szCs w:val="22"/>
          <w:lang w:eastAsia="it-IT"/>
        </w:rPr>
        <w:t>nuovo</w:t>
      </w:r>
      <w:r w:rsidRPr="00901403">
        <w:rPr>
          <w:b/>
          <w:bCs/>
          <w:sz w:val="22"/>
          <w:szCs w:val="22"/>
          <w:lang w:eastAsia="it-IT"/>
        </w:rPr>
        <w:t xml:space="preserve"> </w:t>
      </w:r>
      <w:r w:rsidRPr="00901403">
        <w:rPr>
          <w:b/>
          <w:bCs/>
          <w:i/>
          <w:iCs/>
          <w:sz w:val="22"/>
          <w:szCs w:val="22"/>
          <w:lang w:eastAsia="it-IT"/>
        </w:rPr>
        <w:t>Style Magazine</w:t>
      </w:r>
      <w:r w:rsidRPr="00901403">
        <w:rPr>
          <w:sz w:val="22"/>
          <w:szCs w:val="22"/>
          <w:lang w:eastAsia="it-IT"/>
        </w:rPr>
        <w:t xml:space="preserve"> e l’allestimento in Triennale della seconda edizione della mostra “</w:t>
      </w:r>
      <w:r w:rsidRPr="00901403">
        <w:rPr>
          <w:b/>
          <w:bCs/>
          <w:sz w:val="22"/>
          <w:szCs w:val="22"/>
          <w:lang w:eastAsia="it-IT"/>
        </w:rPr>
        <w:t>The Art of Living</w:t>
      </w:r>
      <w:r w:rsidRPr="00901403">
        <w:rPr>
          <w:sz w:val="22"/>
          <w:szCs w:val="22"/>
          <w:lang w:eastAsia="it-IT"/>
        </w:rPr>
        <w:t>”</w:t>
      </w:r>
      <w:r w:rsidRPr="00901403">
        <w:rPr>
          <w:color w:val="1F497D"/>
          <w:sz w:val="22"/>
          <w:szCs w:val="22"/>
          <w:lang w:eastAsia="it-IT"/>
        </w:rPr>
        <w:t>.</w:t>
      </w:r>
      <w:r w:rsidRPr="00901403">
        <w:rPr>
          <w:sz w:val="22"/>
          <w:szCs w:val="22"/>
          <w:lang w:eastAsia="it-IT"/>
        </w:rPr>
        <w:t xml:space="preserve"> Per quanto riguarda la pubblicità, sono nate </w:t>
      </w:r>
      <w:r w:rsidR="002A35A8">
        <w:rPr>
          <w:b/>
          <w:bCs/>
          <w:sz w:val="22"/>
          <w:szCs w:val="22"/>
          <w:lang w:eastAsia="it-IT"/>
        </w:rPr>
        <w:t xml:space="preserve">RCS </w:t>
      </w:r>
      <w:proofErr w:type="spellStart"/>
      <w:r w:rsidR="002A35A8">
        <w:rPr>
          <w:b/>
          <w:bCs/>
          <w:sz w:val="22"/>
          <w:szCs w:val="22"/>
          <w:lang w:eastAsia="it-IT"/>
        </w:rPr>
        <w:t>Communication</w:t>
      </w:r>
      <w:proofErr w:type="spellEnd"/>
      <w:r w:rsidR="002A35A8">
        <w:rPr>
          <w:b/>
          <w:bCs/>
          <w:sz w:val="22"/>
          <w:szCs w:val="22"/>
          <w:lang w:eastAsia="it-IT"/>
        </w:rPr>
        <w:t xml:space="preserve"> Solutions</w:t>
      </w:r>
      <w:r w:rsidR="002A35A8" w:rsidRPr="002A35A8">
        <w:rPr>
          <w:bCs/>
          <w:sz w:val="22"/>
          <w:szCs w:val="22"/>
          <w:lang w:eastAsia="it-IT"/>
        </w:rPr>
        <w:t>, nuova configurazione della concessionaria di Gruppo,</w:t>
      </w:r>
      <w:r w:rsidR="002A35A8">
        <w:rPr>
          <w:b/>
          <w:bCs/>
          <w:sz w:val="22"/>
          <w:szCs w:val="22"/>
          <w:lang w:eastAsia="it-IT"/>
        </w:rPr>
        <w:t xml:space="preserve"> </w:t>
      </w:r>
      <w:r w:rsidRPr="00901403">
        <w:rPr>
          <w:sz w:val="22"/>
          <w:szCs w:val="22"/>
          <w:lang w:eastAsia="it-IT"/>
        </w:rPr>
        <w:t>e</w:t>
      </w:r>
      <w:r w:rsidRPr="00901403">
        <w:rPr>
          <w:b/>
          <w:bCs/>
          <w:sz w:val="22"/>
          <w:szCs w:val="22"/>
          <w:lang w:eastAsia="it-IT"/>
        </w:rPr>
        <w:t xml:space="preserve"> </w:t>
      </w:r>
      <w:proofErr w:type="spellStart"/>
      <w:r w:rsidRPr="00901403">
        <w:rPr>
          <w:b/>
          <w:bCs/>
          <w:sz w:val="22"/>
          <w:szCs w:val="22"/>
          <w:lang w:eastAsia="it-IT"/>
        </w:rPr>
        <w:t>NuMix</w:t>
      </w:r>
      <w:proofErr w:type="spellEnd"/>
      <w:r w:rsidRPr="00901403">
        <w:rPr>
          <w:b/>
          <w:bCs/>
          <w:sz w:val="22"/>
          <w:szCs w:val="22"/>
          <w:lang w:eastAsia="it-IT"/>
        </w:rPr>
        <w:t xml:space="preserve"> Agency</w:t>
      </w:r>
      <w:r w:rsidRPr="00901403">
        <w:rPr>
          <w:sz w:val="22"/>
          <w:szCs w:val="22"/>
          <w:lang w:eastAsia="it-IT"/>
        </w:rPr>
        <w:t xml:space="preserve">, che rivoluzionano l’offerta di servizi di marketing per le imprese, e che già possono contare su accordi e partnership con </w:t>
      </w:r>
      <w:proofErr w:type="spellStart"/>
      <w:r w:rsidRPr="00901403">
        <w:rPr>
          <w:sz w:val="22"/>
          <w:szCs w:val="22"/>
          <w:lang w:eastAsia="it-IT"/>
        </w:rPr>
        <w:t>Madai</w:t>
      </w:r>
      <w:proofErr w:type="spellEnd"/>
      <w:r w:rsidRPr="00901403">
        <w:rPr>
          <w:sz w:val="22"/>
          <w:szCs w:val="22"/>
          <w:lang w:eastAsia="it-IT"/>
        </w:rPr>
        <w:t xml:space="preserve">, </w:t>
      </w:r>
      <w:proofErr w:type="spellStart"/>
      <w:r w:rsidRPr="00901403">
        <w:rPr>
          <w:sz w:val="22"/>
          <w:szCs w:val="22"/>
          <w:lang w:eastAsia="it-IT"/>
        </w:rPr>
        <w:t>Blurum</w:t>
      </w:r>
      <w:proofErr w:type="spellEnd"/>
      <w:r w:rsidRPr="00901403">
        <w:rPr>
          <w:sz w:val="22"/>
          <w:szCs w:val="22"/>
          <w:lang w:eastAsia="it-IT"/>
        </w:rPr>
        <w:t xml:space="preserve"> e </w:t>
      </w:r>
      <w:proofErr w:type="spellStart"/>
      <w:r w:rsidRPr="00901403">
        <w:rPr>
          <w:sz w:val="22"/>
          <w:szCs w:val="22"/>
          <w:lang w:eastAsia="it-IT"/>
        </w:rPr>
        <w:t>Mosaicoon</w:t>
      </w:r>
      <w:proofErr w:type="spellEnd"/>
      <w:r w:rsidRPr="00901403">
        <w:rPr>
          <w:sz w:val="22"/>
          <w:szCs w:val="22"/>
          <w:lang w:eastAsia="it-IT"/>
        </w:rPr>
        <w:t xml:space="preserve">. Tra i grandi eventi si registra il successo delle corse, </w:t>
      </w:r>
      <w:r w:rsidRPr="00901403">
        <w:rPr>
          <w:b/>
          <w:bCs/>
          <w:sz w:val="22"/>
          <w:szCs w:val="22"/>
          <w:lang w:eastAsia="it-IT"/>
        </w:rPr>
        <w:t xml:space="preserve">Milano City Marathon, </w:t>
      </w:r>
      <w:proofErr w:type="spellStart"/>
      <w:r w:rsidRPr="00901403">
        <w:rPr>
          <w:b/>
          <w:bCs/>
          <w:sz w:val="22"/>
          <w:szCs w:val="22"/>
          <w:lang w:eastAsia="it-IT"/>
        </w:rPr>
        <w:t>Elect</w:t>
      </w:r>
      <w:r w:rsidRPr="00901403">
        <w:rPr>
          <w:b/>
          <w:bCs/>
          <w:color w:val="1F497D"/>
          <w:sz w:val="22"/>
          <w:szCs w:val="22"/>
          <w:lang w:eastAsia="it-IT"/>
        </w:rPr>
        <w:t>ri</w:t>
      </w:r>
      <w:r w:rsidRPr="00901403">
        <w:rPr>
          <w:b/>
          <w:bCs/>
          <w:sz w:val="22"/>
          <w:szCs w:val="22"/>
          <w:lang w:eastAsia="it-IT"/>
        </w:rPr>
        <w:t>c</w:t>
      </w:r>
      <w:proofErr w:type="spellEnd"/>
      <w:r w:rsidRPr="00901403">
        <w:rPr>
          <w:b/>
          <w:bCs/>
          <w:sz w:val="22"/>
          <w:szCs w:val="22"/>
          <w:lang w:eastAsia="it-IT"/>
        </w:rPr>
        <w:t xml:space="preserve"> </w:t>
      </w:r>
      <w:proofErr w:type="spellStart"/>
      <w:r w:rsidRPr="00901403">
        <w:rPr>
          <w:b/>
          <w:bCs/>
          <w:sz w:val="22"/>
          <w:szCs w:val="22"/>
          <w:lang w:eastAsia="it-IT"/>
        </w:rPr>
        <w:t>Run</w:t>
      </w:r>
      <w:proofErr w:type="spellEnd"/>
      <w:r w:rsidRPr="00901403">
        <w:rPr>
          <w:b/>
          <w:bCs/>
          <w:sz w:val="22"/>
          <w:szCs w:val="22"/>
          <w:lang w:eastAsia="it-IT"/>
        </w:rPr>
        <w:t xml:space="preserve"> e Color </w:t>
      </w:r>
      <w:proofErr w:type="spellStart"/>
      <w:r w:rsidRPr="00901403">
        <w:rPr>
          <w:b/>
          <w:bCs/>
          <w:sz w:val="22"/>
          <w:szCs w:val="22"/>
          <w:lang w:eastAsia="it-IT"/>
        </w:rPr>
        <w:t>Run</w:t>
      </w:r>
      <w:proofErr w:type="spellEnd"/>
      <w:r w:rsidRPr="00901403">
        <w:rPr>
          <w:sz w:val="22"/>
          <w:szCs w:val="22"/>
          <w:lang w:eastAsia="it-IT"/>
        </w:rPr>
        <w:t xml:space="preserve"> in particolare e la partenza da Sanremo della 98esima edizione del </w:t>
      </w:r>
      <w:r w:rsidRPr="00901403">
        <w:rPr>
          <w:b/>
          <w:bCs/>
          <w:sz w:val="22"/>
          <w:szCs w:val="22"/>
          <w:lang w:eastAsia="it-IT"/>
        </w:rPr>
        <w:t xml:space="preserve">Giro d’Italia </w:t>
      </w:r>
      <w:r w:rsidRPr="00901403">
        <w:rPr>
          <w:sz w:val="22"/>
          <w:szCs w:val="22"/>
          <w:lang w:eastAsia="it-IT"/>
        </w:rPr>
        <w:t xml:space="preserve">e all’estero il successo del secondo </w:t>
      </w:r>
      <w:r w:rsidRPr="00901403">
        <w:rPr>
          <w:b/>
          <w:bCs/>
          <w:sz w:val="22"/>
          <w:szCs w:val="22"/>
          <w:lang w:eastAsia="it-IT"/>
        </w:rPr>
        <w:t>Dubai Tour</w:t>
      </w:r>
      <w:r w:rsidRPr="00901403">
        <w:rPr>
          <w:sz w:val="22"/>
          <w:szCs w:val="22"/>
          <w:lang w:eastAsia="it-IT"/>
        </w:rPr>
        <w:t xml:space="preserve">. Infine, due autori pubblicati in Italia da Rizzoli hanno vinto il </w:t>
      </w:r>
      <w:r w:rsidRPr="00901403">
        <w:rPr>
          <w:b/>
          <w:bCs/>
          <w:sz w:val="22"/>
          <w:szCs w:val="22"/>
          <w:lang w:eastAsia="it-IT"/>
        </w:rPr>
        <w:t xml:space="preserve">Premio </w:t>
      </w:r>
      <w:r w:rsidRPr="00901403">
        <w:rPr>
          <w:b/>
          <w:bCs/>
          <w:sz w:val="22"/>
          <w:szCs w:val="22"/>
        </w:rPr>
        <w:t>Pulitzer 2015</w:t>
      </w:r>
      <w:r w:rsidRPr="00901403">
        <w:rPr>
          <w:sz w:val="22"/>
          <w:szCs w:val="22"/>
        </w:rPr>
        <w:t>:</w:t>
      </w:r>
      <w:r w:rsidRPr="00901403">
        <w:rPr>
          <w:sz w:val="22"/>
          <w:szCs w:val="22"/>
          <w:lang w:eastAsia="it-IT"/>
        </w:rPr>
        <w:t xml:space="preserve"> </w:t>
      </w:r>
      <w:r w:rsidRPr="00901403">
        <w:rPr>
          <w:sz w:val="22"/>
          <w:szCs w:val="22"/>
        </w:rPr>
        <w:t>“</w:t>
      </w:r>
      <w:r w:rsidRPr="00901403">
        <w:rPr>
          <w:i/>
          <w:iCs/>
          <w:sz w:val="22"/>
          <w:szCs w:val="22"/>
        </w:rPr>
        <w:t>Il patto col diavolo. Mussolini e Papa Pio XI</w:t>
      </w:r>
      <w:r w:rsidRPr="00901403">
        <w:rPr>
          <w:sz w:val="22"/>
          <w:szCs w:val="22"/>
        </w:rPr>
        <w:t xml:space="preserve">” di David </w:t>
      </w:r>
      <w:proofErr w:type="spellStart"/>
      <w:r w:rsidRPr="00901403">
        <w:rPr>
          <w:sz w:val="22"/>
          <w:szCs w:val="22"/>
        </w:rPr>
        <w:t>Kertzer</w:t>
      </w:r>
      <w:proofErr w:type="spellEnd"/>
      <w:r w:rsidRPr="00901403">
        <w:rPr>
          <w:sz w:val="22"/>
          <w:szCs w:val="22"/>
        </w:rPr>
        <w:t xml:space="preserve"> per la migliore biografia e “</w:t>
      </w:r>
      <w:r w:rsidRPr="00901403">
        <w:rPr>
          <w:i/>
          <w:iCs/>
          <w:sz w:val="22"/>
          <w:szCs w:val="22"/>
        </w:rPr>
        <w:t>Tutta la luce che non vediamo</w:t>
      </w:r>
      <w:r w:rsidRPr="00901403">
        <w:rPr>
          <w:sz w:val="22"/>
          <w:szCs w:val="22"/>
        </w:rPr>
        <w:t xml:space="preserve">” di Anthony </w:t>
      </w:r>
      <w:proofErr w:type="spellStart"/>
      <w:r w:rsidRPr="00901403">
        <w:rPr>
          <w:sz w:val="22"/>
          <w:szCs w:val="22"/>
        </w:rPr>
        <w:t>Doerr</w:t>
      </w:r>
      <w:proofErr w:type="spellEnd"/>
      <w:r w:rsidRPr="00901403">
        <w:rPr>
          <w:sz w:val="22"/>
          <w:szCs w:val="22"/>
        </w:rPr>
        <w:t xml:space="preserve"> per la narrativa.</w:t>
      </w:r>
    </w:p>
    <w:p w:rsidR="0020160F" w:rsidRPr="004B2D8F" w:rsidRDefault="00901403" w:rsidP="00351A87">
      <w:pPr>
        <w:widowControl/>
        <w:suppressAutoHyphens w:val="0"/>
        <w:spacing w:before="100" w:beforeAutospacing="1" w:after="100" w:afterAutospacing="1"/>
        <w:jc w:val="both"/>
        <w:rPr>
          <w:sz w:val="22"/>
          <w:szCs w:val="22"/>
          <w:lang w:eastAsia="en-GB"/>
        </w:rPr>
      </w:pPr>
      <w:r w:rsidRPr="004B2D8F">
        <w:rPr>
          <w:b/>
          <w:bCs/>
          <w:sz w:val="22"/>
          <w:szCs w:val="22"/>
          <w:lang w:eastAsia="en-GB"/>
        </w:rPr>
        <w:t>I</w:t>
      </w:r>
      <w:r w:rsidR="00AB4E78" w:rsidRPr="004B2D8F">
        <w:rPr>
          <w:b/>
          <w:bCs/>
          <w:sz w:val="22"/>
          <w:szCs w:val="22"/>
          <w:lang w:eastAsia="en-GB"/>
        </w:rPr>
        <w:t xml:space="preserve"> ricavi netti consolidati </w:t>
      </w:r>
      <w:r w:rsidR="00AB4E78" w:rsidRPr="004B2D8F">
        <w:rPr>
          <w:sz w:val="22"/>
          <w:szCs w:val="22"/>
          <w:lang w:eastAsia="en-GB"/>
        </w:rPr>
        <w:t xml:space="preserve">di Gruppo al </w:t>
      </w:r>
      <w:r w:rsidR="00254F78" w:rsidRPr="004B2D8F">
        <w:rPr>
          <w:sz w:val="22"/>
          <w:szCs w:val="22"/>
          <w:lang w:eastAsia="en-GB"/>
        </w:rPr>
        <w:t>31 marzo 2015</w:t>
      </w:r>
      <w:r w:rsidR="00AB4E78" w:rsidRPr="004B2D8F">
        <w:rPr>
          <w:sz w:val="22"/>
          <w:szCs w:val="22"/>
          <w:lang w:eastAsia="en-GB"/>
        </w:rPr>
        <w:t xml:space="preserve"> si attestano a </w:t>
      </w:r>
      <w:r w:rsidR="004B2D8F" w:rsidRPr="004B2D8F">
        <w:rPr>
          <w:sz w:val="22"/>
          <w:szCs w:val="22"/>
          <w:lang w:eastAsia="en-GB"/>
        </w:rPr>
        <w:t>256,5</w:t>
      </w:r>
      <w:r w:rsidR="00AB4E78" w:rsidRPr="004B2D8F">
        <w:rPr>
          <w:sz w:val="22"/>
          <w:szCs w:val="22"/>
          <w:lang w:eastAsia="en-GB"/>
        </w:rPr>
        <w:t xml:space="preserve"> milioni di Euro</w:t>
      </w:r>
      <w:r w:rsidR="00C5663C" w:rsidRPr="004B2D8F">
        <w:rPr>
          <w:sz w:val="22"/>
          <w:szCs w:val="22"/>
          <w:lang w:eastAsia="en-GB"/>
        </w:rPr>
        <w:t xml:space="preserve">, </w:t>
      </w:r>
      <w:r w:rsidR="00AB4E78" w:rsidRPr="004B2D8F">
        <w:rPr>
          <w:sz w:val="22"/>
          <w:szCs w:val="22"/>
          <w:lang w:eastAsia="en-GB"/>
        </w:rPr>
        <w:t xml:space="preserve">rispetto ai </w:t>
      </w:r>
      <w:r w:rsidR="004B2D8F" w:rsidRPr="004B2D8F">
        <w:rPr>
          <w:sz w:val="22"/>
          <w:szCs w:val="22"/>
          <w:lang w:eastAsia="en-GB"/>
        </w:rPr>
        <w:t>262,9</w:t>
      </w:r>
      <w:r w:rsidR="006A6963" w:rsidRPr="004B2D8F">
        <w:rPr>
          <w:sz w:val="22"/>
          <w:szCs w:val="22"/>
          <w:lang w:eastAsia="en-GB"/>
        </w:rPr>
        <w:t xml:space="preserve"> </w:t>
      </w:r>
      <w:r w:rsidR="00AB4E78" w:rsidRPr="004B2D8F">
        <w:rPr>
          <w:sz w:val="22"/>
          <w:szCs w:val="22"/>
          <w:lang w:eastAsia="en-GB"/>
        </w:rPr>
        <w:t xml:space="preserve">del </w:t>
      </w:r>
      <w:r w:rsidR="004B2D8F" w:rsidRPr="004B2D8F">
        <w:rPr>
          <w:sz w:val="22"/>
          <w:szCs w:val="22"/>
          <w:lang w:eastAsia="en-GB"/>
        </w:rPr>
        <w:t xml:space="preserve">pari periodo </w:t>
      </w:r>
      <w:r w:rsidR="00AB4E78" w:rsidRPr="004B2D8F">
        <w:rPr>
          <w:sz w:val="22"/>
          <w:szCs w:val="22"/>
          <w:lang w:eastAsia="en-GB"/>
        </w:rPr>
        <w:t>201</w:t>
      </w:r>
      <w:r w:rsidR="004B2D8F" w:rsidRPr="004B2D8F">
        <w:rPr>
          <w:sz w:val="22"/>
          <w:szCs w:val="22"/>
          <w:lang w:eastAsia="en-GB"/>
        </w:rPr>
        <w:t>4</w:t>
      </w:r>
      <w:r w:rsidR="006A6963" w:rsidRPr="004B2D8F">
        <w:rPr>
          <w:sz w:val="22"/>
          <w:szCs w:val="22"/>
          <w:lang w:eastAsia="en-GB"/>
        </w:rPr>
        <w:t xml:space="preserve">: il calo è </w:t>
      </w:r>
      <w:r w:rsidR="00C5663C" w:rsidRPr="004B2D8F">
        <w:rPr>
          <w:sz w:val="22"/>
          <w:szCs w:val="22"/>
          <w:lang w:eastAsia="en-GB"/>
        </w:rPr>
        <w:t xml:space="preserve">attribuibile principalmente </w:t>
      </w:r>
      <w:r w:rsidR="004B2D8F" w:rsidRPr="004B2D8F">
        <w:rPr>
          <w:sz w:val="22"/>
          <w:szCs w:val="22"/>
          <w:lang w:eastAsia="en-GB"/>
        </w:rPr>
        <w:t>al trend di mercato della raccolta pubblicitaria, che influenza anche i risultati del Gruppo RCS</w:t>
      </w:r>
      <w:r w:rsidR="00AB4E78" w:rsidRPr="004B2D8F">
        <w:rPr>
          <w:sz w:val="22"/>
          <w:szCs w:val="22"/>
          <w:lang w:eastAsia="en-GB"/>
        </w:rPr>
        <w:t>.</w:t>
      </w:r>
      <w:r w:rsidR="00AB4E78" w:rsidRPr="004B2D8F">
        <w:t xml:space="preserve"> </w:t>
      </w:r>
      <w:r w:rsidR="00AB4E78" w:rsidRPr="004B2D8F">
        <w:rPr>
          <w:sz w:val="22"/>
          <w:szCs w:val="22"/>
          <w:lang w:eastAsia="en-GB"/>
        </w:rPr>
        <w:t xml:space="preserve">I </w:t>
      </w:r>
      <w:r w:rsidR="00AB4E78" w:rsidRPr="004B2D8F">
        <w:rPr>
          <w:b/>
          <w:sz w:val="22"/>
          <w:szCs w:val="22"/>
          <w:lang w:eastAsia="en-GB"/>
        </w:rPr>
        <w:t xml:space="preserve">ricavi delle attività digitali rappresentano </w:t>
      </w:r>
      <w:r w:rsidR="004B2D8F" w:rsidRPr="004B2D8F">
        <w:rPr>
          <w:b/>
          <w:sz w:val="22"/>
          <w:szCs w:val="22"/>
          <w:lang w:eastAsia="en-GB"/>
        </w:rPr>
        <w:t>oltre il 14</w:t>
      </w:r>
      <w:r w:rsidR="00AB4E78" w:rsidRPr="004B2D8F">
        <w:rPr>
          <w:b/>
          <w:sz w:val="22"/>
          <w:szCs w:val="22"/>
          <w:lang w:eastAsia="en-GB"/>
        </w:rPr>
        <w:t xml:space="preserve">% </w:t>
      </w:r>
      <w:r w:rsidR="00AB4E78" w:rsidRPr="004B2D8F">
        <w:rPr>
          <w:sz w:val="22"/>
          <w:szCs w:val="22"/>
          <w:lang w:eastAsia="en-GB"/>
        </w:rPr>
        <w:t xml:space="preserve">dei ricavi totali di Gruppo </w:t>
      </w:r>
      <w:r w:rsidR="00923BDC" w:rsidRPr="00923BDC">
        <w:rPr>
          <w:sz w:val="22"/>
          <w:szCs w:val="22"/>
          <w:lang w:eastAsia="en-GB"/>
        </w:rPr>
        <w:t>(15,3% escludendo le componenti dell’area Libri)</w:t>
      </w:r>
      <w:r w:rsidR="00923BDC">
        <w:rPr>
          <w:lang w:eastAsia="en-GB"/>
        </w:rPr>
        <w:t xml:space="preserve"> </w:t>
      </w:r>
      <w:r w:rsidR="00AB4E78" w:rsidRPr="004B2D8F">
        <w:rPr>
          <w:sz w:val="22"/>
          <w:szCs w:val="22"/>
          <w:lang w:eastAsia="en-GB"/>
        </w:rPr>
        <w:t xml:space="preserve">e </w:t>
      </w:r>
      <w:r w:rsidR="00AB4E78" w:rsidRPr="004B2D8F">
        <w:rPr>
          <w:b/>
          <w:sz w:val="22"/>
          <w:szCs w:val="22"/>
          <w:lang w:eastAsia="en-GB"/>
        </w:rPr>
        <w:t xml:space="preserve">hanno </w:t>
      </w:r>
      <w:r w:rsidR="001912B6" w:rsidRPr="004B2D8F">
        <w:rPr>
          <w:b/>
          <w:sz w:val="22"/>
          <w:szCs w:val="22"/>
          <w:lang w:eastAsia="en-GB"/>
        </w:rPr>
        <w:t xml:space="preserve">superato i </w:t>
      </w:r>
      <w:r w:rsidR="004B2D8F" w:rsidRPr="004B2D8F">
        <w:rPr>
          <w:b/>
          <w:sz w:val="22"/>
          <w:szCs w:val="22"/>
          <w:lang w:eastAsia="en-GB"/>
        </w:rPr>
        <w:t xml:space="preserve">36 </w:t>
      </w:r>
      <w:r w:rsidR="00AB4E78" w:rsidRPr="004B2D8F">
        <w:rPr>
          <w:b/>
          <w:sz w:val="22"/>
          <w:szCs w:val="22"/>
          <w:lang w:eastAsia="en-GB"/>
        </w:rPr>
        <w:t>milioni</w:t>
      </w:r>
      <w:r w:rsidR="0020160F" w:rsidRPr="004B2D8F">
        <w:rPr>
          <w:b/>
          <w:sz w:val="22"/>
          <w:szCs w:val="22"/>
          <w:lang w:eastAsia="en-GB"/>
        </w:rPr>
        <w:t xml:space="preserve">, in crescita </w:t>
      </w:r>
      <w:r w:rsidR="004B2D8F" w:rsidRPr="004B2D8F">
        <w:rPr>
          <w:b/>
          <w:sz w:val="22"/>
          <w:szCs w:val="22"/>
          <w:lang w:eastAsia="en-GB"/>
        </w:rPr>
        <w:t>del 2,5</w:t>
      </w:r>
      <w:r w:rsidR="00B33368" w:rsidRPr="004B2D8F">
        <w:rPr>
          <w:b/>
          <w:sz w:val="22"/>
          <w:szCs w:val="22"/>
          <w:lang w:eastAsia="en-GB"/>
        </w:rPr>
        <w:t xml:space="preserve">% rispetto al </w:t>
      </w:r>
      <w:r w:rsidR="004B2D8F" w:rsidRPr="004B2D8F">
        <w:rPr>
          <w:b/>
          <w:sz w:val="22"/>
          <w:szCs w:val="22"/>
          <w:lang w:eastAsia="en-GB"/>
        </w:rPr>
        <w:t>primo trimestre 2014</w:t>
      </w:r>
      <w:r w:rsidR="00AB4E78" w:rsidRPr="004B2D8F">
        <w:rPr>
          <w:sz w:val="22"/>
          <w:szCs w:val="22"/>
          <w:lang w:eastAsia="en-GB"/>
        </w:rPr>
        <w:t>.</w:t>
      </w:r>
      <w:r w:rsidR="00386FAF" w:rsidRPr="004B2D8F">
        <w:rPr>
          <w:sz w:val="22"/>
          <w:szCs w:val="22"/>
          <w:lang w:eastAsia="en-GB"/>
        </w:rPr>
        <w:t xml:space="preserve"> </w:t>
      </w:r>
    </w:p>
    <w:p w:rsidR="00A61758" w:rsidRDefault="00473E45" w:rsidP="00D26308">
      <w:pPr>
        <w:widowControl/>
        <w:suppressAutoHyphens w:val="0"/>
        <w:spacing w:before="100" w:beforeAutospacing="1" w:after="100" w:afterAutospacing="1"/>
        <w:jc w:val="both"/>
        <w:rPr>
          <w:sz w:val="22"/>
          <w:szCs w:val="22"/>
          <w:lang w:eastAsia="en-GB"/>
        </w:rPr>
      </w:pPr>
      <w:r w:rsidRPr="00D26308">
        <w:rPr>
          <w:sz w:val="22"/>
          <w:szCs w:val="22"/>
          <w:lang w:eastAsia="en-GB"/>
        </w:rPr>
        <w:t xml:space="preserve">I </w:t>
      </w:r>
      <w:r w:rsidRPr="00D26308">
        <w:rPr>
          <w:b/>
          <w:sz w:val="22"/>
          <w:szCs w:val="22"/>
          <w:lang w:eastAsia="en-GB"/>
        </w:rPr>
        <w:t>ricavi diffusionali</w:t>
      </w:r>
      <w:r w:rsidRPr="00641E6B">
        <w:rPr>
          <w:sz w:val="22"/>
          <w:szCs w:val="22"/>
          <w:lang w:eastAsia="en-GB"/>
        </w:rPr>
        <w:t xml:space="preserve"> ammontano a </w:t>
      </w:r>
      <w:r w:rsidR="00641E6B" w:rsidRPr="00641E6B">
        <w:rPr>
          <w:sz w:val="22"/>
          <w:szCs w:val="22"/>
          <w:lang w:eastAsia="en-GB"/>
        </w:rPr>
        <w:t>134,1</w:t>
      </w:r>
      <w:r w:rsidRPr="00641E6B">
        <w:rPr>
          <w:sz w:val="22"/>
          <w:szCs w:val="22"/>
          <w:lang w:eastAsia="en-GB"/>
        </w:rPr>
        <w:t xml:space="preserve"> milioni di Euro</w:t>
      </w:r>
      <w:r w:rsidR="00641E6B" w:rsidRPr="00641E6B">
        <w:rPr>
          <w:sz w:val="22"/>
          <w:szCs w:val="22"/>
          <w:lang w:eastAsia="en-GB"/>
        </w:rPr>
        <w:t xml:space="preserve">, in linea rispetto al </w:t>
      </w:r>
      <w:r w:rsidR="00641E6B">
        <w:rPr>
          <w:sz w:val="22"/>
          <w:szCs w:val="22"/>
          <w:lang w:eastAsia="en-GB"/>
        </w:rPr>
        <w:t>pa</w:t>
      </w:r>
      <w:r w:rsidR="00641E6B" w:rsidRPr="00641E6B">
        <w:rPr>
          <w:sz w:val="22"/>
          <w:szCs w:val="22"/>
          <w:lang w:eastAsia="en-GB"/>
        </w:rPr>
        <w:t>ri periodo 2014, che registrava ricavi diffusionali per 134,8 milioni</w:t>
      </w:r>
      <w:r w:rsidRPr="0078159F">
        <w:rPr>
          <w:sz w:val="22"/>
          <w:szCs w:val="22"/>
          <w:lang w:eastAsia="en-GB"/>
        </w:rPr>
        <w:t>.</w:t>
      </w:r>
      <w:r w:rsidR="005415E4" w:rsidRPr="0078159F">
        <w:rPr>
          <w:sz w:val="22"/>
          <w:szCs w:val="22"/>
          <w:lang w:eastAsia="en-GB"/>
        </w:rPr>
        <w:t xml:space="preserve"> </w:t>
      </w:r>
      <w:r w:rsidR="00A61758" w:rsidRPr="00D26308">
        <w:rPr>
          <w:sz w:val="22"/>
          <w:szCs w:val="22"/>
          <w:lang w:eastAsia="en-GB"/>
        </w:rPr>
        <w:t xml:space="preserve">I </w:t>
      </w:r>
      <w:r w:rsidR="00A61758" w:rsidRPr="00D26308">
        <w:rPr>
          <w:b/>
          <w:sz w:val="22"/>
          <w:szCs w:val="22"/>
          <w:lang w:eastAsia="en-GB"/>
        </w:rPr>
        <w:t>ricavi pubblicitari</w:t>
      </w:r>
      <w:r w:rsidR="00A61758" w:rsidRPr="00D26308">
        <w:rPr>
          <w:sz w:val="22"/>
          <w:szCs w:val="22"/>
          <w:lang w:eastAsia="en-GB"/>
        </w:rPr>
        <w:t xml:space="preserve"> </w:t>
      </w:r>
      <w:r w:rsidR="00C82E7D" w:rsidRPr="00D26308">
        <w:rPr>
          <w:sz w:val="22"/>
          <w:szCs w:val="22"/>
          <w:lang w:eastAsia="en-GB"/>
        </w:rPr>
        <w:t>ammontan</w:t>
      </w:r>
      <w:r w:rsidR="00641E6B" w:rsidRPr="00D26308">
        <w:rPr>
          <w:sz w:val="22"/>
          <w:szCs w:val="22"/>
          <w:lang w:eastAsia="en-GB"/>
        </w:rPr>
        <w:t xml:space="preserve">o nel trimestre a 96,3 milioni di Euro, in lieve decremento rispetto al primo trimestre 2014 (-4,8 milioni), </w:t>
      </w:r>
      <w:r w:rsidR="0078159F" w:rsidRPr="00D26308">
        <w:rPr>
          <w:sz w:val="22"/>
          <w:szCs w:val="22"/>
          <w:lang w:eastAsia="en-GB"/>
        </w:rPr>
        <w:t>subendo</w:t>
      </w:r>
      <w:r w:rsidR="00641E6B" w:rsidRPr="00D26308">
        <w:rPr>
          <w:sz w:val="22"/>
          <w:szCs w:val="22"/>
          <w:lang w:eastAsia="en-GB"/>
        </w:rPr>
        <w:t xml:space="preserve"> l’andamento sfavorevole del mercato</w:t>
      </w:r>
      <w:r w:rsidR="004B60F6" w:rsidRPr="00D26308">
        <w:rPr>
          <w:sz w:val="22"/>
          <w:szCs w:val="22"/>
          <w:lang w:eastAsia="en-GB"/>
        </w:rPr>
        <w:t xml:space="preserve"> e invece confermando gli</w:t>
      </w:r>
      <w:r w:rsidR="00C82E7D" w:rsidRPr="00D26308">
        <w:rPr>
          <w:sz w:val="22"/>
          <w:szCs w:val="22"/>
          <w:lang w:eastAsia="en-GB"/>
        </w:rPr>
        <w:t xml:space="preserve"> </w:t>
      </w:r>
      <w:r w:rsidR="00C82E7D" w:rsidRPr="00D26308">
        <w:rPr>
          <w:b/>
          <w:sz w:val="22"/>
          <w:szCs w:val="22"/>
          <w:lang w:eastAsia="en-GB"/>
        </w:rPr>
        <w:t>ottimi risultati nella raccolta on-line in Spagna</w:t>
      </w:r>
      <w:r w:rsidR="004B60F6" w:rsidRPr="00D26308">
        <w:rPr>
          <w:sz w:val="22"/>
          <w:szCs w:val="22"/>
          <w:lang w:eastAsia="en-GB"/>
        </w:rPr>
        <w:t>.</w:t>
      </w:r>
      <w:r w:rsidR="002246CF" w:rsidRPr="00D26308">
        <w:rPr>
          <w:sz w:val="22"/>
          <w:szCs w:val="22"/>
          <w:lang w:eastAsia="en-GB"/>
        </w:rPr>
        <w:t xml:space="preserve"> In tenuta rispetto al 31 marzo 2014 anche i</w:t>
      </w:r>
      <w:r w:rsidR="00905AE3" w:rsidRPr="00D26308">
        <w:rPr>
          <w:sz w:val="22"/>
          <w:szCs w:val="22"/>
          <w:lang w:eastAsia="en-GB"/>
        </w:rPr>
        <w:t xml:space="preserve"> </w:t>
      </w:r>
      <w:r w:rsidR="00905AE3" w:rsidRPr="00D26308">
        <w:rPr>
          <w:b/>
          <w:sz w:val="22"/>
          <w:szCs w:val="22"/>
          <w:lang w:eastAsia="en-GB"/>
        </w:rPr>
        <w:t>ricavi editoriali diversi</w:t>
      </w:r>
      <w:r w:rsidR="002246CF" w:rsidRPr="00D26308">
        <w:rPr>
          <w:sz w:val="22"/>
          <w:szCs w:val="22"/>
          <w:lang w:eastAsia="en-GB"/>
        </w:rPr>
        <w:t>, che si attestano a 26,1 milioni di Euro.</w:t>
      </w:r>
      <w:r w:rsidR="00905AE3" w:rsidRPr="002246CF">
        <w:rPr>
          <w:sz w:val="22"/>
          <w:szCs w:val="22"/>
          <w:lang w:eastAsia="en-GB"/>
        </w:rPr>
        <w:t xml:space="preserve"> </w:t>
      </w:r>
    </w:p>
    <w:p w:rsidR="00EA77A3" w:rsidRPr="0078159F" w:rsidRDefault="002F4D43" w:rsidP="00315214">
      <w:pPr>
        <w:widowControl/>
        <w:suppressAutoHyphens w:val="0"/>
        <w:spacing w:before="100" w:beforeAutospacing="1" w:after="100" w:afterAutospacing="1"/>
        <w:jc w:val="both"/>
        <w:rPr>
          <w:b/>
          <w:sz w:val="22"/>
          <w:szCs w:val="22"/>
          <w:lang w:eastAsia="en-GB"/>
        </w:rPr>
      </w:pPr>
      <w:r w:rsidRPr="0078159F">
        <w:rPr>
          <w:sz w:val="22"/>
          <w:szCs w:val="22"/>
          <w:lang w:eastAsia="en-GB"/>
        </w:rPr>
        <w:lastRenderedPageBreak/>
        <w:t>L’</w:t>
      </w:r>
      <w:r w:rsidRPr="0078159F">
        <w:rPr>
          <w:b/>
          <w:bCs/>
          <w:sz w:val="22"/>
          <w:szCs w:val="22"/>
          <w:lang w:eastAsia="en-GB"/>
        </w:rPr>
        <w:t xml:space="preserve">EBITDA </w:t>
      </w:r>
      <w:proofErr w:type="spellStart"/>
      <w:r w:rsidRPr="0078159F">
        <w:rPr>
          <w:b/>
          <w:bCs/>
          <w:sz w:val="22"/>
          <w:szCs w:val="22"/>
          <w:lang w:eastAsia="en-GB"/>
        </w:rPr>
        <w:t>pre</w:t>
      </w:r>
      <w:proofErr w:type="spellEnd"/>
      <w:r w:rsidRPr="0078159F">
        <w:rPr>
          <w:b/>
          <w:bCs/>
          <w:sz w:val="22"/>
          <w:szCs w:val="22"/>
          <w:lang w:eastAsia="en-GB"/>
        </w:rPr>
        <w:t xml:space="preserve"> oneri e proventi non ricorrenti </w:t>
      </w:r>
      <w:r w:rsidR="003A1349" w:rsidRPr="005A4E9F">
        <w:rPr>
          <w:sz w:val="22"/>
          <w:szCs w:val="22"/>
          <w:lang w:eastAsia="en-GB"/>
        </w:rPr>
        <w:t>è pari a -22,3 milioni di Euro</w:t>
      </w:r>
      <w:r w:rsidR="0078159F" w:rsidRPr="005A4E9F">
        <w:rPr>
          <w:sz w:val="22"/>
          <w:szCs w:val="22"/>
          <w:lang w:eastAsia="en-GB"/>
        </w:rPr>
        <w:t>,</w:t>
      </w:r>
      <w:r w:rsidR="0078159F" w:rsidRPr="0078159F">
        <w:rPr>
          <w:b/>
          <w:sz w:val="22"/>
          <w:szCs w:val="22"/>
          <w:lang w:eastAsia="en-GB"/>
        </w:rPr>
        <w:t xml:space="preserve"> in netto miglioramento </w:t>
      </w:r>
      <w:r w:rsidR="0078159F" w:rsidRPr="005A4E9F">
        <w:rPr>
          <w:sz w:val="22"/>
          <w:szCs w:val="22"/>
          <w:lang w:eastAsia="en-GB"/>
        </w:rPr>
        <w:t xml:space="preserve">rispetto ai </w:t>
      </w:r>
      <w:r w:rsidR="00646264">
        <w:rPr>
          <w:sz w:val="22"/>
          <w:szCs w:val="22"/>
          <w:lang w:eastAsia="en-GB"/>
        </w:rPr>
        <w:t>-</w:t>
      </w:r>
      <w:r w:rsidR="0078159F" w:rsidRPr="005A4E9F">
        <w:rPr>
          <w:sz w:val="22"/>
          <w:szCs w:val="22"/>
          <w:lang w:eastAsia="en-GB"/>
        </w:rPr>
        <w:t>29 milioni del primo trimestre 2014,</w:t>
      </w:r>
      <w:r w:rsidR="0078159F" w:rsidRPr="0078159F">
        <w:rPr>
          <w:b/>
          <w:sz w:val="22"/>
          <w:szCs w:val="22"/>
          <w:lang w:eastAsia="en-GB"/>
        </w:rPr>
        <w:t xml:space="preserve"> </w:t>
      </w:r>
      <w:r w:rsidRPr="0078159F">
        <w:rPr>
          <w:b/>
          <w:bCs/>
          <w:sz w:val="22"/>
          <w:szCs w:val="22"/>
          <w:lang w:eastAsia="en-GB"/>
        </w:rPr>
        <w:t>per l’andamento positivo d</w:t>
      </w:r>
      <w:r w:rsidR="005415E4" w:rsidRPr="0078159F">
        <w:rPr>
          <w:b/>
          <w:bCs/>
          <w:sz w:val="22"/>
          <w:szCs w:val="22"/>
          <w:lang w:eastAsia="en-GB"/>
        </w:rPr>
        <w:t>elle</w:t>
      </w:r>
      <w:r w:rsidRPr="0078159F">
        <w:rPr>
          <w:b/>
          <w:bCs/>
          <w:sz w:val="22"/>
          <w:szCs w:val="22"/>
          <w:lang w:eastAsia="en-GB"/>
        </w:rPr>
        <w:t xml:space="preserve"> </w:t>
      </w:r>
      <w:r w:rsidR="005415E4" w:rsidRPr="0078159F">
        <w:rPr>
          <w:b/>
          <w:bCs/>
          <w:sz w:val="22"/>
          <w:szCs w:val="22"/>
          <w:lang w:eastAsia="en-GB"/>
        </w:rPr>
        <w:t>principali</w:t>
      </w:r>
      <w:r w:rsidRPr="0078159F">
        <w:rPr>
          <w:b/>
          <w:bCs/>
          <w:sz w:val="22"/>
          <w:szCs w:val="22"/>
          <w:lang w:eastAsia="en-GB"/>
        </w:rPr>
        <w:t xml:space="preserve"> aree di business</w:t>
      </w:r>
      <w:r w:rsidRPr="0078159F">
        <w:rPr>
          <w:sz w:val="22"/>
          <w:szCs w:val="22"/>
          <w:lang w:eastAsia="en-GB"/>
        </w:rPr>
        <w:t xml:space="preserve">. </w:t>
      </w:r>
      <w:r w:rsidR="004B60F6" w:rsidRPr="004B60F6">
        <w:rPr>
          <w:b/>
          <w:sz w:val="22"/>
          <w:szCs w:val="22"/>
          <w:lang w:eastAsia="en-GB"/>
        </w:rPr>
        <w:t>L’incremento sale ad oltre 10 milioni di Euro</w:t>
      </w:r>
      <w:r w:rsidR="004B60F6">
        <w:rPr>
          <w:sz w:val="22"/>
          <w:szCs w:val="22"/>
          <w:lang w:eastAsia="en-GB"/>
        </w:rPr>
        <w:t>, considerando che il primo trimestre 2014 non recepiva investimenti</w:t>
      </w:r>
      <w:r w:rsidR="0040154C">
        <w:rPr>
          <w:sz w:val="22"/>
          <w:szCs w:val="22"/>
          <w:lang w:eastAsia="en-GB"/>
        </w:rPr>
        <w:t xml:space="preserve"> e costi effettuati</w:t>
      </w:r>
      <w:r w:rsidR="004B60F6">
        <w:rPr>
          <w:sz w:val="22"/>
          <w:szCs w:val="22"/>
          <w:lang w:eastAsia="en-GB"/>
        </w:rPr>
        <w:t xml:space="preserve"> nel 2015 per il lancio di Gazzetta TV e per maggiori iniziative e lanci di nuovi prodotti. </w:t>
      </w:r>
      <w:r w:rsidRPr="0078159F">
        <w:rPr>
          <w:sz w:val="22"/>
          <w:szCs w:val="22"/>
          <w:lang w:eastAsia="en-GB"/>
        </w:rPr>
        <w:t xml:space="preserve">Si evidenzia che </w:t>
      </w:r>
      <w:r w:rsidRPr="0078159F">
        <w:rPr>
          <w:b/>
          <w:sz w:val="22"/>
          <w:szCs w:val="22"/>
          <w:lang w:eastAsia="en-GB"/>
        </w:rPr>
        <w:t xml:space="preserve">a partire dal terzo trimestre </w:t>
      </w:r>
      <w:r w:rsidR="007706E1" w:rsidRPr="0078159F">
        <w:rPr>
          <w:b/>
          <w:sz w:val="22"/>
          <w:szCs w:val="22"/>
          <w:lang w:eastAsia="en-GB"/>
        </w:rPr>
        <w:t>del 2013</w:t>
      </w:r>
      <w:r w:rsidRPr="0078159F">
        <w:rPr>
          <w:b/>
          <w:sz w:val="22"/>
          <w:szCs w:val="22"/>
          <w:lang w:eastAsia="en-GB"/>
        </w:rPr>
        <w:t xml:space="preserve"> l’EBITDA </w:t>
      </w:r>
      <w:proofErr w:type="spellStart"/>
      <w:r w:rsidRPr="0078159F">
        <w:rPr>
          <w:b/>
          <w:sz w:val="22"/>
          <w:szCs w:val="22"/>
          <w:lang w:eastAsia="en-GB"/>
        </w:rPr>
        <w:t>pre</w:t>
      </w:r>
      <w:proofErr w:type="spellEnd"/>
      <w:r w:rsidRPr="0078159F">
        <w:rPr>
          <w:b/>
          <w:sz w:val="22"/>
          <w:szCs w:val="22"/>
          <w:lang w:eastAsia="en-GB"/>
        </w:rPr>
        <w:t xml:space="preserve"> oneri e proventi non ricorrenti ha registrato un </w:t>
      </w:r>
      <w:r w:rsidRPr="0078159F">
        <w:rPr>
          <w:b/>
          <w:bCs/>
          <w:sz w:val="22"/>
          <w:szCs w:val="22"/>
          <w:lang w:eastAsia="en-GB"/>
        </w:rPr>
        <w:t>trend migliorativo costante</w:t>
      </w:r>
      <w:r w:rsidRPr="0078159F">
        <w:rPr>
          <w:sz w:val="22"/>
          <w:szCs w:val="22"/>
          <w:lang w:eastAsia="it-IT"/>
        </w:rPr>
        <w:t xml:space="preserve"> rispetto al corrispondente </w:t>
      </w:r>
      <w:r w:rsidR="006C4DD4" w:rsidRPr="0078159F">
        <w:rPr>
          <w:sz w:val="22"/>
          <w:szCs w:val="22"/>
          <w:lang w:eastAsia="it-IT"/>
        </w:rPr>
        <w:t>periodo</w:t>
      </w:r>
      <w:r w:rsidRPr="0078159F">
        <w:rPr>
          <w:sz w:val="22"/>
          <w:szCs w:val="22"/>
          <w:lang w:eastAsia="it-IT"/>
        </w:rPr>
        <w:t xml:space="preserve"> dell’anno precedente</w:t>
      </w:r>
      <w:r w:rsidR="00EA77A3" w:rsidRPr="0078159F">
        <w:rPr>
          <w:sz w:val="22"/>
          <w:szCs w:val="22"/>
          <w:lang w:eastAsia="it-IT"/>
        </w:rPr>
        <w:t>.</w:t>
      </w:r>
      <w:r w:rsidR="006F2B25" w:rsidRPr="0078159F">
        <w:rPr>
          <w:sz w:val="22"/>
          <w:szCs w:val="22"/>
          <w:lang w:eastAsia="it-IT"/>
        </w:rPr>
        <w:t xml:space="preserve"> </w:t>
      </w:r>
      <w:r w:rsidR="0078159F" w:rsidRPr="0078159F">
        <w:rPr>
          <w:sz w:val="22"/>
          <w:szCs w:val="22"/>
          <w:lang w:eastAsia="en-GB"/>
        </w:rPr>
        <w:t>Nel trimestre</w:t>
      </w:r>
      <w:r w:rsidR="006F2B25" w:rsidRPr="0078159F">
        <w:rPr>
          <w:sz w:val="22"/>
          <w:szCs w:val="22"/>
          <w:lang w:eastAsia="en-GB"/>
        </w:rPr>
        <w:t xml:space="preserve"> </w:t>
      </w:r>
      <w:r w:rsidRPr="0078159F">
        <w:rPr>
          <w:sz w:val="22"/>
          <w:szCs w:val="22"/>
          <w:lang w:eastAsia="en-GB"/>
        </w:rPr>
        <w:t xml:space="preserve">gli oneri non ricorrenti sono complessivamente pari a </w:t>
      </w:r>
      <w:r w:rsidR="003465A2" w:rsidRPr="0078159F">
        <w:rPr>
          <w:sz w:val="22"/>
          <w:szCs w:val="22"/>
          <w:lang w:eastAsia="en-GB"/>
        </w:rPr>
        <w:t xml:space="preserve">circa </w:t>
      </w:r>
      <w:r w:rsidR="0078159F" w:rsidRPr="0078159F">
        <w:rPr>
          <w:sz w:val="22"/>
          <w:szCs w:val="22"/>
          <w:lang w:eastAsia="en-GB"/>
        </w:rPr>
        <w:t>1</w:t>
      </w:r>
      <w:r w:rsidR="00AB5F7F" w:rsidRPr="0078159F">
        <w:rPr>
          <w:sz w:val="22"/>
          <w:szCs w:val="22"/>
          <w:lang w:eastAsia="en-GB"/>
        </w:rPr>
        <w:t xml:space="preserve"> </w:t>
      </w:r>
      <w:r w:rsidRPr="0078159F">
        <w:rPr>
          <w:sz w:val="22"/>
          <w:szCs w:val="22"/>
          <w:lang w:eastAsia="en-GB"/>
        </w:rPr>
        <w:t>milion</w:t>
      </w:r>
      <w:r w:rsidR="0078159F" w:rsidRPr="0078159F">
        <w:rPr>
          <w:sz w:val="22"/>
          <w:szCs w:val="22"/>
          <w:lang w:eastAsia="en-GB"/>
        </w:rPr>
        <w:t>e</w:t>
      </w:r>
      <w:r w:rsidRPr="0078159F">
        <w:rPr>
          <w:sz w:val="22"/>
          <w:szCs w:val="22"/>
          <w:lang w:eastAsia="en-GB"/>
        </w:rPr>
        <w:t xml:space="preserve"> di Euro (</w:t>
      </w:r>
      <w:r w:rsidR="00A73FA4">
        <w:rPr>
          <w:sz w:val="22"/>
          <w:szCs w:val="22"/>
          <w:lang w:eastAsia="en-GB"/>
        </w:rPr>
        <w:t>circa 17</w:t>
      </w:r>
      <w:r w:rsidR="00AB5F7F" w:rsidRPr="0078159F">
        <w:rPr>
          <w:sz w:val="22"/>
          <w:szCs w:val="22"/>
          <w:lang w:eastAsia="en-GB"/>
        </w:rPr>
        <w:t xml:space="preserve"> </w:t>
      </w:r>
      <w:r w:rsidRPr="0078159F">
        <w:rPr>
          <w:sz w:val="22"/>
          <w:szCs w:val="22"/>
          <w:lang w:eastAsia="en-GB"/>
        </w:rPr>
        <w:t xml:space="preserve">milioni </w:t>
      </w:r>
      <w:r w:rsidR="0078159F" w:rsidRPr="0078159F">
        <w:rPr>
          <w:sz w:val="22"/>
          <w:szCs w:val="22"/>
          <w:lang w:eastAsia="en-GB"/>
        </w:rPr>
        <w:t>al 31 marzo 2014</w:t>
      </w:r>
      <w:r w:rsidRPr="0078159F">
        <w:rPr>
          <w:sz w:val="22"/>
          <w:szCs w:val="22"/>
          <w:lang w:eastAsia="en-GB"/>
        </w:rPr>
        <w:t>). L’</w:t>
      </w:r>
      <w:r w:rsidRPr="0078159F">
        <w:rPr>
          <w:b/>
          <w:bCs/>
          <w:sz w:val="22"/>
          <w:szCs w:val="22"/>
          <w:lang w:eastAsia="en-GB"/>
        </w:rPr>
        <w:t xml:space="preserve">EBITDA post oneri e proventi non ricorrenti è </w:t>
      </w:r>
      <w:r w:rsidR="0078159F" w:rsidRPr="0078159F">
        <w:rPr>
          <w:b/>
          <w:bCs/>
          <w:sz w:val="22"/>
          <w:szCs w:val="22"/>
          <w:lang w:eastAsia="en-GB"/>
        </w:rPr>
        <w:t>negativo per 23,4</w:t>
      </w:r>
      <w:r w:rsidRPr="0078159F">
        <w:rPr>
          <w:b/>
          <w:bCs/>
          <w:sz w:val="22"/>
          <w:szCs w:val="22"/>
          <w:lang w:eastAsia="en-GB"/>
        </w:rPr>
        <w:t xml:space="preserve"> milioni</w:t>
      </w:r>
      <w:r w:rsidR="003465A2" w:rsidRPr="0078159F">
        <w:rPr>
          <w:b/>
          <w:bCs/>
          <w:sz w:val="22"/>
          <w:szCs w:val="22"/>
          <w:lang w:eastAsia="en-GB"/>
        </w:rPr>
        <w:t xml:space="preserve"> di Euro</w:t>
      </w:r>
      <w:r w:rsidRPr="0078159F">
        <w:rPr>
          <w:sz w:val="22"/>
          <w:szCs w:val="22"/>
          <w:lang w:eastAsia="en-GB"/>
        </w:rPr>
        <w:t xml:space="preserve">, </w:t>
      </w:r>
      <w:r w:rsidRPr="0078159F">
        <w:rPr>
          <w:b/>
          <w:bCs/>
          <w:sz w:val="22"/>
          <w:szCs w:val="22"/>
          <w:lang w:eastAsia="en-GB"/>
        </w:rPr>
        <w:t xml:space="preserve">in miglioramento di </w:t>
      </w:r>
      <w:r w:rsidR="003465A2" w:rsidRPr="0078159F">
        <w:rPr>
          <w:b/>
          <w:bCs/>
          <w:sz w:val="22"/>
          <w:szCs w:val="22"/>
          <w:lang w:eastAsia="en-GB"/>
        </w:rPr>
        <w:t xml:space="preserve">oltre </w:t>
      </w:r>
      <w:r w:rsidR="0078159F" w:rsidRPr="0078159F">
        <w:rPr>
          <w:b/>
          <w:bCs/>
          <w:sz w:val="22"/>
          <w:szCs w:val="22"/>
          <w:lang w:eastAsia="en-GB"/>
        </w:rPr>
        <w:t>22</w:t>
      </w:r>
      <w:r w:rsidRPr="0078159F">
        <w:rPr>
          <w:b/>
          <w:bCs/>
          <w:sz w:val="22"/>
          <w:szCs w:val="22"/>
          <w:lang w:eastAsia="en-GB"/>
        </w:rPr>
        <w:t xml:space="preserve"> milioni </w:t>
      </w:r>
      <w:r w:rsidRPr="0078159F">
        <w:rPr>
          <w:sz w:val="22"/>
          <w:szCs w:val="22"/>
          <w:lang w:eastAsia="en-GB"/>
        </w:rPr>
        <w:t>rispetto ai -</w:t>
      </w:r>
      <w:r w:rsidR="0078159F" w:rsidRPr="0078159F">
        <w:rPr>
          <w:sz w:val="22"/>
          <w:szCs w:val="22"/>
          <w:lang w:eastAsia="en-GB"/>
        </w:rPr>
        <w:t>45,9</w:t>
      </w:r>
      <w:r w:rsidRPr="0078159F">
        <w:rPr>
          <w:sz w:val="22"/>
          <w:szCs w:val="22"/>
          <w:lang w:eastAsia="en-GB"/>
        </w:rPr>
        <w:t xml:space="preserve"> milioni </w:t>
      </w:r>
      <w:r w:rsidR="0078159F" w:rsidRPr="0078159F">
        <w:rPr>
          <w:sz w:val="22"/>
          <w:szCs w:val="22"/>
          <w:lang w:eastAsia="en-GB"/>
        </w:rPr>
        <w:t>del primo trimestre</w:t>
      </w:r>
      <w:r w:rsidRPr="0078159F">
        <w:rPr>
          <w:sz w:val="22"/>
          <w:szCs w:val="22"/>
          <w:lang w:eastAsia="en-GB"/>
        </w:rPr>
        <w:t xml:space="preserve"> 201</w:t>
      </w:r>
      <w:r w:rsidR="0078159F" w:rsidRPr="0078159F">
        <w:rPr>
          <w:sz w:val="22"/>
          <w:szCs w:val="22"/>
          <w:lang w:eastAsia="en-GB"/>
        </w:rPr>
        <w:t>4</w:t>
      </w:r>
      <w:r w:rsidR="009074BE" w:rsidRPr="0078159F">
        <w:rPr>
          <w:sz w:val="22"/>
          <w:szCs w:val="22"/>
          <w:lang w:eastAsia="en-GB"/>
        </w:rPr>
        <w:t>.</w:t>
      </w:r>
      <w:r w:rsidR="00E3157C" w:rsidRPr="0078159F">
        <w:rPr>
          <w:sz w:val="22"/>
          <w:szCs w:val="22"/>
          <w:lang w:eastAsia="en-GB"/>
        </w:rPr>
        <w:t xml:space="preserve"> </w:t>
      </w:r>
    </w:p>
    <w:p w:rsidR="005A4E9F" w:rsidRPr="005A4E9F" w:rsidRDefault="00315214" w:rsidP="00315214">
      <w:pPr>
        <w:widowControl/>
        <w:suppressAutoHyphens w:val="0"/>
        <w:spacing w:before="100" w:beforeAutospacing="1" w:after="100" w:afterAutospacing="1"/>
        <w:jc w:val="both"/>
        <w:rPr>
          <w:b/>
          <w:sz w:val="22"/>
          <w:szCs w:val="22"/>
          <w:lang w:eastAsia="it-IT"/>
        </w:rPr>
      </w:pPr>
      <w:r w:rsidRPr="005A4E9F">
        <w:rPr>
          <w:sz w:val="22"/>
          <w:szCs w:val="22"/>
          <w:lang w:eastAsia="it-IT"/>
        </w:rPr>
        <w:t>Per le dinamiche sopra descritte</w:t>
      </w:r>
      <w:r w:rsidR="007A6B91" w:rsidRPr="005A4E9F">
        <w:rPr>
          <w:sz w:val="22"/>
          <w:szCs w:val="22"/>
          <w:lang w:eastAsia="it-IT"/>
        </w:rPr>
        <w:t xml:space="preserve">, </w:t>
      </w:r>
      <w:r w:rsidR="005A4E9F" w:rsidRPr="005A4E9F">
        <w:rPr>
          <w:sz w:val="22"/>
          <w:szCs w:val="22"/>
          <w:lang w:eastAsia="it-IT"/>
        </w:rPr>
        <w:t>in parte compensate da maggiori ammortamenti per 1,2 milioni</w:t>
      </w:r>
      <w:r w:rsidRPr="005A4E9F">
        <w:rPr>
          <w:sz w:val="22"/>
          <w:szCs w:val="22"/>
          <w:lang w:eastAsia="it-IT"/>
        </w:rPr>
        <w:t xml:space="preserve">, il </w:t>
      </w:r>
      <w:r w:rsidRPr="005A4E9F">
        <w:rPr>
          <w:b/>
          <w:bCs/>
          <w:sz w:val="22"/>
          <w:szCs w:val="22"/>
          <w:lang w:eastAsia="it-IT"/>
        </w:rPr>
        <w:t>risultato operativo (EBIT)</w:t>
      </w:r>
      <w:r w:rsidRPr="005A4E9F">
        <w:rPr>
          <w:sz w:val="22"/>
          <w:szCs w:val="22"/>
          <w:lang w:eastAsia="it-IT"/>
        </w:rPr>
        <w:t xml:space="preserve">, negativo per </w:t>
      </w:r>
      <w:r w:rsidR="005A4E9F" w:rsidRPr="005A4E9F">
        <w:rPr>
          <w:sz w:val="22"/>
          <w:szCs w:val="22"/>
          <w:lang w:eastAsia="it-IT"/>
        </w:rPr>
        <w:t>39,1</w:t>
      </w:r>
      <w:r w:rsidRPr="005A4E9F">
        <w:rPr>
          <w:sz w:val="22"/>
          <w:szCs w:val="22"/>
          <w:lang w:eastAsia="it-IT"/>
        </w:rPr>
        <w:t xml:space="preserve"> milioni </w:t>
      </w:r>
      <w:r w:rsidR="007A6B91" w:rsidRPr="005A4E9F">
        <w:rPr>
          <w:b/>
          <w:sz w:val="22"/>
          <w:szCs w:val="22"/>
          <w:lang w:eastAsia="it-IT"/>
        </w:rPr>
        <w:t>migliora si</w:t>
      </w:r>
      <w:r w:rsidR="00793FAA" w:rsidRPr="005A4E9F">
        <w:rPr>
          <w:b/>
          <w:sz w:val="22"/>
          <w:szCs w:val="22"/>
          <w:lang w:eastAsia="it-IT"/>
        </w:rPr>
        <w:t xml:space="preserve">gnificativamente rispetto al </w:t>
      </w:r>
      <w:r w:rsidR="008F2AE7" w:rsidRPr="005A4E9F">
        <w:rPr>
          <w:b/>
          <w:sz w:val="22"/>
          <w:szCs w:val="22"/>
          <w:lang w:eastAsia="it-IT"/>
        </w:rPr>
        <w:t xml:space="preserve">dato del </w:t>
      </w:r>
      <w:r w:rsidR="005A4E9F" w:rsidRPr="005A4E9F">
        <w:rPr>
          <w:b/>
          <w:sz w:val="22"/>
          <w:szCs w:val="22"/>
          <w:lang w:eastAsia="it-IT"/>
        </w:rPr>
        <w:t>primo trimestre 2014,</w:t>
      </w:r>
      <w:r w:rsidR="007A6B91" w:rsidRPr="005A4E9F">
        <w:rPr>
          <w:sz w:val="22"/>
          <w:szCs w:val="22"/>
          <w:lang w:eastAsia="it-IT"/>
        </w:rPr>
        <w:t xml:space="preserve"> </w:t>
      </w:r>
      <w:r w:rsidR="008F2AE7" w:rsidRPr="005A4E9F">
        <w:rPr>
          <w:sz w:val="22"/>
          <w:szCs w:val="22"/>
          <w:lang w:eastAsia="it-IT"/>
        </w:rPr>
        <w:t xml:space="preserve">pari a </w:t>
      </w:r>
      <w:r w:rsidR="00644018" w:rsidRPr="005A4E9F">
        <w:rPr>
          <w:sz w:val="22"/>
          <w:szCs w:val="22"/>
          <w:lang w:eastAsia="it-IT"/>
        </w:rPr>
        <w:t>-</w:t>
      </w:r>
      <w:r w:rsidR="005A4E9F" w:rsidRPr="005A4E9F">
        <w:rPr>
          <w:sz w:val="22"/>
          <w:szCs w:val="22"/>
          <w:lang w:eastAsia="it-IT"/>
        </w:rPr>
        <w:t>60,1</w:t>
      </w:r>
      <w:r w:rsidRPr="005A4E9F">
        <w:rPr>
          <w:sz w:val="22"/>
          <w:szCs w:val="22"/>
          <w:lang w:eastAsia="it-IT"/>
        </w:rPr>
        <w:t xml:space="preserve"> milioni</w:t>
      </w:r>
      <w:r w:rsidR="00155C51" w:rsidRPr="005A4E9F">
        <w:rPr>
          <w:sz w:val="22"/>
          <w:szCs w:val="22"/>
          <w:lang w:eastAsia="it-IT"/>
        </w:rPr>
        <w:t xml:space="preserve">. </w:t>
      </w:r>
    </w:p>
    <w:p w:rsidR="00315214" w:rsidRPr="00324EF4" w:rsidRDefault="00315214" w:rsidP="00315214">
      <w:pPr>
        <w:widowControl/>
        <w:suppressAutoHyphens w:val="0"/>
        <w:spacing w:before="100" w:beforeAutospacing="1" w:after="100" w:afterAutospacing="1"/>
        <w:jc w:val="both"/>
        <w:rPr>
          <w:sz w:val="22"/>
          <w:szCs w:val="22"/>
          <w:lang w:eastAsia="it-IT"/>
        </w:rPr>
      </w:pPr>
      <w:r w:rsidRPr="00324EF4">
        <w:rPr>
          <w:sz w:val="22"/>
          <w:szCs w:val="22"/>
          <w:lang w:eastAsia="it-IT"/>
        </w:rPr>
        <w:t xml:space="preserve">Gli </w:t>
      </w:r>
      <w:r w:rsidRPr="00324EF4">
        <w:rPr>
          <w:b/>
          <w:bCs/>
          <w:sz w:val="22"/>
          <w:szCs w:val="22"/>
          <w:lang w:eastAsia="it-IT"/>
        </w:rPr>
        <w:t xml:space="preserve">oneri finanziari netti </w:t>
      </w:r>
      <w:r w:rsidR="005A4E9F" w:rsidRPr="00324EF4">
        <w:rPr>
          <w:b/>
          <w:bCs/>
          <w:sz w:val="22"/>
          <w:szCs w:val="22"/>
          <w:lang w:eastAsia="it-IT"/>
        </w:rPr>
        <w:t>si decrementano di 1,</w:t>
      </w:r>
      <w:r w:rsidR="00A73FA4">
        <w:rPr>
          <w:b/>
          <w:bCs/>
          <w:sz w:val="22"/>
          <w:szCs w:val="22"/>
          <w:lang w:eastAsia="it-IT"/>
        </w:rPr>
        <w:t>3</w:t>
      </w:r>
      <w:r w:rsidR="005A4E9F" w:rsidRPr="00324EF4">
        <w:rPr>
          <w:b/>
          <w:bCs/>
          <w:sz w:val="22"/>
          <w:szCs w:val="22"/>
          <w:lang w:eastAsia="it-IT"/>
        </w:rPr>
        <w:t xml:space="preserve"> milioni di Euro, attestandosi </w:t>
      </w:r>
      <w:r w:rsidR="00324EF4" w:rsidRPr="00324EF4">
        <w:rPr>
          <w:b/>
          <w:bCs/>
          <w:sz w:val="22"/>
          <w:szCs w:val="22"/>
          <w:lang w:eastAsia="it-IT"/>
        </w:rPr>
        <w:t xml:space="preserve">a 8,9 milioni al 31 marzo 2015, </w:t>
      </w:r>
      <w:r w:rsidR="0011553D" w:rsidRPr="00324EF4">
        <w:rPr>
          <w:sz w:val="22"/>
          <w:szCs w:val="22"/>
          <w:lang w:eastAsia="it-IT"/>
        </w:rPr>
        <w:t>essenzialmente per la component</w:t>
      </w:r>
      <w:r w:rsidR="00073D3C" w:rsidRPr="00324EF4">
        <w:rPr>
          <w:sz w:val="22"/>
          <w:szCs w:val="22"/>
          <w:lang w:eastAsia="it-IT"/>
        </w:rPr>
        <w:t>e</w:t>
      </w:r>
      <w:r w:rsidR="0011553D" w:rsidRPr="00324EF4">
        <w:rPr>
          <w:sz w:val="22"/>
          <w:szCs w:val="22"/>
          <w:lang w:eastAsia="it-IT"/>
        </w:rPr>
        <w:t xml:space="preserve"> tasso di interesse</w:t>
      </w:r>
      <w:r w:rsidRPr="00324EF4">
        <w:rPr>
          <w:sz w:val="22"/>
          <w:szCs w:val="22"/>
          <w:lang w:eastAsia="it-IT"/>
        </w:rPr>
        <w:t>.</w:t>
      </w:r>
      <w:r w:rsidR="00DC62EB" w:rsidRPr="00324EF4">
        <w:rPr>
          <w:sz w:val="22"/>
          <w:szCs w:val="22"/>
          <w:lang w:eastAsia="it-IT"/>
        </w:rPr>
        <w:t xml:space="preserve"> </w:t>
      </w:r>
    </w:p>
    <w:p w:rsidR="00315214" w:rsidRPr="00324EF4" w:rsidRDefault="00315214" w:rsidP="00315214">
      <w:pPr>
        <w:widowControl/>
        <w:suppressAutoHyphens w:val="0"/>
        <w:spacing w:before="100" w:beforeAutospacing="1" w:after="100" w:afterAutospacing="1"/>
        <w:jc w:val="both"/>
        <w:rPr>
          <w:sz w:val="22"/>
          <w:szCs w:val="22"/>
          <w:lang w:eastAsia="it-IT"/>
        </w:rPr>
      </w:pPr>
      <w:r w:rsidRPr="00324EF4">
        <w:rPr>
          <w:sz w:val="22"/>
          <w:szCs w:val="22"/>
          <w:lang w:eastAsia="it-IT"/>
        </w:rPr>
        <w:t xml:space="preserve">Il </w:t>
      </w:r>
      <w:r w:rsidRPr="00324EF4">
        <w:rPr>
          <w:b/>
          <w:bCs/>
          <w:sz w:val="22"/>
          <w:szCs w:val="22"/>
          <w:lang w:eastAsia="it-IT"/>
        </w:rPr>
        <w:t xml:space="preserve">risultato netto dell’esercizio </w:t>
      </w:r>
      <w:r w:rsidR="00324EF4" w:rsidRPr="00324EF4">
        <w:rPr>
          <w:b/>
          <w:sz w:val="22"/>
          <w:szCs w:val="22"/>
          <w:lang w:eastAsia="it-IT"/>
        </w:rPr>
        <w:t xml:space="preserve">evidenzia un miglioramento di circa </w:t>
      </w:r>
      <w:r w:rsidR="00C531B3">
        <w:rPr>
          <w:b/>
          <w:sz w:val="22"/>
          <w:szCs w:val="22"/>
          <w:lang w:eastAsia="it-IT"/>
        </w:rPr>
        <w:t>19</w:t>
      </w:r>
      <w:r w:rsidR="00324EF4" w:rsidRPr="00324EF4">
        <w:rPr>
          <w:b/>
          <w:sz w:val="22"/>
          <w:szCs w:val="22"/>
          <w:lang w:eastAsia="it-IT"/>
        </w:rPr>
        <w:t xml:space="preserve"> milioni di Euro rispetto al 31 marzo 2014</w:t>
      </w:r>
      <w:r w:rsidR="00324EF4" w:rsidRPr="00324EF4">
        <w:rPr>
          <w:sz w:val="22"/>
          <w:szCs w:val="22"/>
          <w:lang w:eastAsia="it-IT"/>
        </w:rPr>
        <w:t>, attestandosi a</w:t>
      </w:r>
      <w:r w:rsidR="00324EF4" w:rsidRPr="00324EF4">
        <w:rPr>
          <w:b/>
          <w:sz w:val="22"/>
          <w:szCs w:val="22"/>
          <w:lang w:eastAsia="it-IT"/>
        </w:rPr>
        <w:t xml:space="preserve"> -</w:t>
      </w:r>
      <w:r w:rsidR="00324EF4" w:rsidRPr="00324EF4">
        <w:rPr>
          <w:sz w:val="22"/>
          <w:szCs w:val="22"/>
          <w:lang w:eastAsia="it-IT"/>
        </w:rPr>
        <w:t>35,2</w:t>
      </w:r>
      <w:r w:rsidRPr="00324EF4">
        <w:rPr>
          <w:sz w:val="22"/>
          <w:szCs w:val="22"/>
          <w:lang w:eastAsia="it-IT"/>
        </w:rPr>
        <w:t xml:space="preserve"> milioni di Euro (-</w:t>
      </w:r>
      <w:r w:rsidR="00324EF4" w:rsidRPr="00324EF4">
        <w:rPr>
          <w:sz w:val="22"/>
          <w:szCs w:val="22"/>
          <w:lang w:eastAsia="it-IT"/>
        </w:rPr>
        <w:t>53,9</w:t>
      </w:r>
      <w:r w:rsidRPr="00324EF4">
        <w:rPr>
          <w:sz w:val="22"/>
          <w:szCs w:val="22"/>
          <w:lang w:eastAsia="it-IT"/>
        </w:rPr>
        <w:t xml:space="preserve"> milioni </w:t>
      </w:r>
      <w:r w:rsidR="00324EF4">
        <w:rPr>
          <w:sz w:val="22"/>
          <w:szCs w:val="22"/>
          <w:lang w:eastAsia="it-IT"/>
        </w:rPr>
        <w:t xml:space="preserve">nel primo </w:t>
      </w:r>
      <w:proofErr w:type="spellStart"/>
      <w:r w:rsidR="00324EF4">
        <w:rPr>
          <w:sz w:val="22"/>
          <w:szCs w:val="22"/>
          <w:lang w:eastAsia="it-IT"/>
        </w:rPr>
        <w:t>triemstre</w:t>
      </w:r>
      <w:proofErr w:type="spellEnd"/>
      <w:r w:rsidR="00324EF4">
        <w:rPr>
          <w:sz w:val="22"/>
          <w:szCs w:val="22"/>
          <w:lang w:eastAsia="it-IT"/>
        </w:rPr>
        <w:t xml:space="preserve"> 2014</w:t>
      </w:r>
      <w:r w:rsidRPr="00324EF4">
        <w:rPr>
          <w:sz w:val="22"/>
          <w:szCs w:val="22"/>
          <w:lang w:eastAsia="it-IT"/>
        </w:rPr>
        <w:t>)</w:t>
      </w:r>
      <w:r w:rsidR="00972A51" w:rsidRPr="00324EF4">
        <w:rPr>
          <w:sz w:val="22"/>
          <w:szCs w:val="22"/>
          <w:lang w:eastAsia="it-IT"/>
        </w:rPr>
        <w:t>.</w:t>
      </w:r>
      <w:r w:rsidR="00386FAF" w:rsidRPr="00324EF4">
        <w:rPr>
          <w:sz w:val="22"/>
          <w:szCs w:val="22"/>
          <w:lang w:eastAsia="it-IT"/>
        </w:rPr>
        <w:t xml:space="preserve"> </w:t>
      </w:r>
    </w:p>
    <w:p w:rsidR="001259E3" w:rsidRPr="00AA5EEB" w:rsidRDefault="00363851" w:rsidP="00972A51">
      <w:pPr>
        <w:widowControl/>
        <w:suppressAutoHyphens w:val="0"/>
        <w:jc w:val="both"/>
        <w:rPr>
          <w:sz w:val="22"/>
          <w:szCs w:val="22"/>
          <w:lang w:eastAsia="it-IT"/>
        </w:rPr>
      </w:pPr>
      <w:r w:rsidRPr="00AA5EEB">
        <w:rPr>
          <w:sz w:val="22"/>
          <w:szCs w:val="22"/>
          <w:lang w:eastAsia="it-IT"/>
        </w:rPr>
        <w:t>L</w:t>
      </w:r>
      <w:r w:rsidR="00972A51" w:rsidRPr="00AA5EEB">
        <w:rPr>
          <w:sz w:val="22"/>
          <w:szCs w:val="22"/>
          <w:lang w:eastAsia="it-IT"/>
        </w:rPr>
        <w:t xml:space="preserve">a </w:t>
      </w:r>
      <w:r w:rsidR="00972A51" w:rsidRPr="00AA5EEB">
        <w:rPr>
          <w:b/>
          <w:sz w:val="22"/>
          <w:szCs w:val="22"/>
          <w:lang w:eastAsia="it-IT"/>
        </w:rPr>
        <w:t>posizione finanziaria netta</w:t>
      </w:r>
      <w:r w:rsidR="00972A51" w:rsidRPr="00AA5EEB">
        <w:rPr>
          <w:sz w:val="22"/>
          <w:szCs w:val="22"/>
          <w:lang w:eastAsia="it-IT"/>
        </w:rPr>
        <w:t xml:space="preserve"> </w:t>
      </w:r>
      <w:r w:rsidR="00AA5EEB" w:rsidRPr="00AA5EEB">
        <w:rPr>
          <w:sz w:val="22"/>
          <w:szCs w:val="22"/>
          <w:lang w:eastAsia="it-IT"/>
        </w:rPr>
        <w:t>nei primi tre mesi dell’anno</w:t>
      </w:r>
      <w:r w:rsidR="002A29F8" w:rsidRPr="00AA5EEB">
        <w:rPr>
          <w:sz w:val="22"/>
          <w:szCs w:val="22"/>
          <w:lang w:eastAsia="it-IT"/>
        </w:rPr>
        <w:t xml:space="preserve"> si riduce </w:t>
      </w:r>
      <w:r w:rsidR="00AA5EEB" w:rsidRPr="00AA5EEB">
        <w:rPr>
          <w:sz w:val="22"/>
          <w:szCs w:val="22"/>
          <w:lang w:eastAsia="it-IT"/>
        </w:rPr>
        <w:t>di oltre 13 milioni</w:t>
      </w:r>
      <w:r w:rsidR="002A29F8" w:rsidRPr="00AA5EEB">
        <w:rPr>
          <w:sz w:val="22"/>
          <w:szCs w:val="22"/>
          <w:lang w:eastAsia="it-IT"/>
        </w:rPr>
        <w:t xml:space="preserve"> di Euro</w:t>
      </w:r>
      <w:r w:rsidR="00AA5EEB" w:rsidRPr="00AA5EEB">
        <w:rPr>
          <w:sz w:val="22"/>
          <w:szCs w:val="22"/>
          <w:lang w:eastAsia="it-IT"/>
        </w:rPr>
        <w:t xml:space="preserve"> rispetto al pari periodo 2014</w:t>
      </w:r>
      <w:r w:rsidR="002A29F8" w:rsidRPr="00AA5EEB">
        <w:rPr>
          <w:sz w:val="22"/>
          <w:szCs w:val="22"/>
          <w:lang w:eastAsia="it-IT"/>
        </w:rPr>
        <w:t>, chiudendo</w:t>
      </w:r>
      <w:r w:rsidR="00716305" w:rsidRPr="00AA5EEB">
        <w:rPr>
          <w:sz w:val="22"/>
          <w:szCs w:val="22"/>
          <w:lang w:eastAsia="it-IT"/>
        </w:rPr>
        <w:t xml:space="preserve"> </w:t>
      </w:r>
      <w:r w:rsidR="00AA5EEB" w:rsidRPr="00AA5EEB">
        <w:rPr>
          <w:sz w:val="22"/>
          <w:szCs w:val="22"/>
          <w:lang w:eastAsia="it-IT"/>
        </w:rPr>
        <w:t>il trimestre</w:t>
      </w:r>
      <w:r w:rsidR="002A29F8" w:rsidRPr="00AA5EEB">
        <w:rPr>
          <w:sz w:val="22"/>
          <w:szCs w:val="22"/>
          <w:lang w:eastAsia="it-IT"/>
        </w:rPr>
        <w:t xml:space="preserve"> a -</w:t>
      </w:r>
      <w:r w:rsidR="00AA5EEB" w:rsidRPr="00AA5EEB">
        <w:rPr>
          <w:sz w:val="22"/>
          <w:szCs w:val="22"/>
          <w:lang w:eastAsia="it-IT"/>
        </w:rPr>
        <w:t>507,5</w:t>
      </w:r>
      <w:r w:rsidR="002A29F8" w:rsidRPr="00AA5EEB">
        <w:rPr>
          <w:sz w:val="22"/>
          <w:szCs w:val="22"/>
          <w:lang w:eastAsia="it-IT"/>
        </w:rPr>
        <w:t xml:space="preserve"> milioni</w:t>
      </w:r>
      <w:r w:rsidR="002A29F8" w:rsidRPr="00AA5EEB" w:rsidDel="002A29F8">
        <w:rPr>
          <w:sz w:val="22"/>
          <w:szCs w:val="22"/>
          <w:lang w:eastAsia="it-IT"/>
        </w:rPr>
        <w:t xml:space="preserve"> </w:t>
      </w:r>
      <w:r w:rsidR="002A29F8" w:rsidRPr="00AA5EEB">
        <w:rPr>
          <w:sz w:val="22"/>
          <w:szCs w:val="22"/>
          <w:lang w:eastAsia="it-IT"/>
        </w:rPr>
        <w:t>(</w:t>
      </w:r>
      <w:r w:rsidR="00972A51" w:rsidRPr="00AA5EEB">
        <w:rPr>
          <w:sz w:val="22"/>
          <w:szCs w:val="22"/>
          <w:lang w:eastAsia="it-IT"/>
        </w:rPr>
        <w:t>-</w:t>
      </w:r>
      <w:r w:rsidR="00AA5EEB" w:rsidRPr="00AA5EEB">
        <w:rPr>
          <w:sz w:val="22"/>
          <w:szCs w:val="22"/>
          <w:lang w:eastAsia="it-IT"/>
        </w:rPr>
        <w:t>520,8</w:t>
      </w:r>
      <w:r w:rsidR="00972A51" w:rsidRPr="00AA5EEB">
        <w:rPr>
          <w:sz w:val="22"/>
          <w:szCs w:val="22"/>
          <w:lang w:eastAsia="it-IT"/>
        </w:rPr>
        <w:t xml:space="preserve"> milioni al 31 </w:t>
      </w:r>
      <w:r w:rsidR="00AA5EEB" w:rsidRPr="00AA5EEB">
        <w:rPr>
          <w:sz w:val="22"/>
          <w:szCs w:val="22"/>
          <w:lang w:eastAsia="it-IT"/>
        </w:rPr>
        <w:t>marzo 2014</w:t>
      </w:r>
      <w:r w:rsidR="00D8731A">
        <w:rPr>
          <w:sz w:val="22"/>
          <w:szCs w:val="22"/>
          <w:lang w:eastAsia="it-IT"/>
        </w:rPr>
        <w:t xml:space="preserve">; </w:t>
      </w:r>
      <w:r w:rsidR="00094308">
        <w:rPr>
          <w:sz w:val="22"/>
          <w:szCs w:val="22"/>
          <w:lang w:eastAsia="it-IT"/>
        </w:rPr>
        <w:t>-</w:t>
      </w:r>
      <w:r w:rsidR="00D8731A">
        <w:rPr>
          <w:color w:val="000000"/>
          <w:sz w:val="22"/>
          <w:szCs w:val="22"/>
        </w:rPr>
        <w:t>482,5 milioni al 31 dicembre 2014</w:t>
      </w:r>
      <w:r w:rsidR="002A29F8" w:rsidRPr="00AA5EEB">
        <w:rPr>
          <w:sz w:val="22"/>
          <w:szCs w:val="22"/>
          <w:lang w:eastAsia="it-IT"/>
        </w:rPr>
        <w:t>)</w:t>
      </w:r>
      <w:r w:rsidR="001259E3" w:rsidRPr="00AA5EEB">
        <w:rPr>
          <w:sz w:val="22"/>
          <w:szCs w:val="22"/>
          <w:lang w:eastAsia="it-IT"/>
        </w:rPr>
        <w:t xml:space="preserve">. </w:t>
      </w:r>
      <w:r w:rsidR="00CA4EC8" w:rsidRPr="00AA5EEB">
        <w:rPr>
          <w:sz w:val="22"/>
          <w:szCs w:val="22"/>
          <w:lang w:eastAsia="it-IT"/>
        </w:rPr>
        <w:t>R</w:t>
      </w:r>
      <w:r w:rsidR="00120E15" w:rsidRPr="00AA5EEB">
        <w:rPr>
          <w:sz w:val="22"/>
          <w:szCs w:val="22"/>
          <w:lang w:eastAsia="it-IT"/>
        </w:rPr>
        <w:t xml:space="preserve">ispetto </w:t>
      </w:r>
      <w:r w:rsidR="00AA5EEB" w:rsidRPr="00AA5EEB">
        <w:rPr>
          <w:sz w:val="22"/>
          <w:szCs w:val="22"/>
          <w:lang w:eastAsia="it-IT"/>
        </w:rPr>
        <w:t>al primo trimestre 2014,</w:t>
      </w:r>
      <w:r w:rsidR="00815120" w:rsidRPr="00AA5EEB">
        <w:rPr>
          <w:sz w:val="22"/>
          <w:szCs w:val="22"/>
          <w:lang w:eastAsia="it-IT"/>
        </w:rPr>
        <w:t xml:space="preserve"> il </w:t>
      </w:r>
      <w:r w:rsidR="00815120" w:rsidRPr="00AA5EEB">
        <w:rPr>
          <w:b/>
          <w:sz w:val="22"/>
          <w:szCs w:val="22"/>
          <w:lang w:eastAsia="it-IT"/>
        </w:rPr>
        <w:t>flusso di cassa</w:t>
      </w:r>
      <w:r w:rsidR="005415E4" w:rsidRPr="00AA5EEB">
        <w:rPr>
          <w:b/>
          <w:sz w:val="22"/>
          <w:szCs w:val="22"/>
          <w:lang w:eastAsia="it-IT"/>
        </w:rPr>
        <w:t xml:space="preserve"> generato dalla gestione</w:t>
      </w:r>
      <w:r w:rsidR="00815120" w:rsidRPr="00AA5EEB">
        <w:rPr>
          <w:b/>
          <w:sz w:val="22"/>
          <w:szCs w:val="22"/>
          <w:lang w:eastAsia="it-IT"/>
        </w:rPr>
        <w:t xml:space="preserve"> tipic</w:t>
      </w:r>
      <w:r w:rsidR="005415E4" w:rsidRPr="00AA5EEB">
        <w:rPr>
          <w:b/>
          <w:sz w:val="22"/>
          <w:szCs w:val="22"/>
          <w:lang w:eastAsia="it-IT"/>
        </w:rPr>
        <w:t>a</w:t>
      </w:r>
      <w:r w:rsidR="007F0E34">
        <w:rPr>
          <w:b/>
          <w:sz w:val="22"/>
          <w:szCs w:val="22"/>
          <w:lang w:eastAsia="it-IT"/>
        </w:rPr>
        <w:t xml:space="preserve"> corrente</w:t>
      </w:r>
      <w:r w:rsidR="00A60593" w:rsidRPr="00AA5EEB">
        <w:rPr>
          <w:rStyle w:val="Rimandonotaapidipagina"/>
          <w:b/>
          <w:sz w:val="22"/>
          <w:szCs w:val="22"/>
          <w:lang w:eastAsia="it-IT"/>
        </w:rPr>
        <w:footnoteReference w:id="2"/>
      </w:r>
      <w:r w:rsidR="00815120" w:rsidRPr="00AA5EEB">
        <w:rPr>
          <w:sz w:val="22"/>
          <w:szCs w:val="22"/>
          <w:lang w:eastAsia="it-IT"/>
        </w:rPr>
        <w:t xml:space="preserve"> </w:t>
      </w:r>
      <w:r w:rsidR="00815120" w:rsidRPr="00AA5EEB">
        <w:rPr>
          <w:b/>
          <w:sz w:val="22"/>
          <w:szCs w:val="22"/>
          <w:lang w:eastAsia="it-IT"/>
        </w:rPr>
        <w:t xml:space="preserve">è </w:t>
      </w:r>
      <w:r w:rsidR="00DB07DC" w:rsidRPr="00AA5EEB">
        <w:rPr>
          <w:b/>
          <w:sz w:val="22"/>
          <w:szCs w:val="22"/>
          <w:lang w:eastAsia="it-IT"/>
        </w:rPr>
        <w:t>in</w:t>
      </w:r>
      <w:r w:rsidR="00DB07DC" w:rsidRPr="00AA5EEB">
        <w:rPr>
          <w:sz w:val="22"/>
          <w:szCs w:val="22"/>
          <w:lang w:eastAsia="it-IT"/>
        </w:rPr>
        <w:t xml:space="preserve"> </w:t>
      </w:r>
      <w:r w:rsidR="00815120" w:rsidRPr="00AA5EEB">
        <w:rPr>
          <w:b/>
          <w:sz w:val="22"/>
          <w:szCs w:val="22"/>
          <w:lang w:eastAsia="it-IT"/>
        </w:rPr>
        <w:t>migliora</w:t>
      </w:r>
      <w:r w:rsidR="00DB07DC" w:rsidRPr="00AA5EEB">
        <w:rPr>
          <w:b/>
          <w:sz w:val="22"/>
          <w:szCs w:val="22"/>
          <w:lang w:eastAsia="it-IT"/>
        </w:rPr>
        <w:t>mento</w:t>
      </w:r>
      <w:r w:rsidR="00A76245" w:rsidRPr="00AA5EEB">
        <w:rPr>
          <w:b/>
          <w:sz w:val="22"/>
          <w:szCs w:val="22"/>
          <w:lang w:eastAsia="it-IT"/>
        </w:rPr>
        <w:t xml:space="preserve"> di </w:t>
      </w:r>
      <w:r w:rsidR="00AA5EEB" w:rsidRPr="00AA5EEB">
        <w:rPr>
          <w:b/>
          <w:sz w:val="22"/>
          <w:szCs w:val="22"/>
          <w:lang w:eastAsia="it-IT"/>
        </w:rPr>
        <w:t>2</w:t>
      </w:r>
      <w:r w:rsidR="00344579">
        <w:rPr>
          <w:b/>
          <w:sz w:val="22"/>
          <w:szCs w:val="22"/>
          <w:lang w:eastAsia="it-IT"/>
        </w:rPr>
        <w:t>5</w:t>
      </w:r>
      <w:r w:rsidR="002A29F8" w:rsidRPr="00AA5EEB">
        <w:rPr>
          <w:b/>
          <w:sz w:val="22"/>
          <w:szCs w:val="22"/>
          <w:lang w:eastAsia="it-IT"/>
        </w:rPr>
        <w:t xml:space="preserve"> </w:t>
      </w:r>
      <w:r w:rsidR="00A76245" w:rsidRPr="00AA5EEB">
        <w:rPr>
          <w:b/>
          <w:sz w:val="22"/>
          <w:szCs w:val="22"/>
          <w:lang w:eastAsia="it-IT"/>
        </w:rPr>
        <w:t xml:space="preserve">milioni </w:t>
      </w:r>
      <w:r w:rsidR="00A76245" w:rsidRPr="00AA5EEB">
        <w:rPr>
          <w:sz w:val="22"/>
          <w:szCs w:val="22"/>
          <w:lang w:eastAsia="it-IT"/>
        </w:rPr>
        <w:t>di Euro</w:t>
      </w:r>
      <w:r w:rsidR="00AA5EEB" w:rsidRPr="00AA5EEB">
        <w:rPr>
          <w:sz w:val="22"/>
          <w:szCs w:val="22"/>
          <w:lang w:eastAsia="it-IT"/>
        </w:rPr>
        <w:t>, chiudendo in sostanziale pareggio</w:t>
      </w:r>
      <w:r w:rsidR="00E35BD1" w:rsidRPr="00AA5EEB">
        <w:rPr>
          <w:sz w:val="22"/>
          <w:szCs w:val="22"/>
          <w:lang w:eastAsia="it-IT"/>
        </w:rPr>
        <w:t xml:space="preserve">. </w:t>
      </w:r>
    </w:p>
    <w:p w:rsidR="0065420F" w:rsidRPr="00AA5EEB" w:rsidRDefault="0065420F" w:rsidP="00972A51">
      <w:pPr>
        <w:widowControl/>
        <w:suppressAutoHyphens w:val="0"/>
        <w:jc w:val="both"/>
        <w:rPr>
          <w:sz w:val="22"/>
          <w:szCs w:val="22"/>
          <w:lang w:eastAsia="it-IT"/>
        </w:rPr>
      </w:pPr>
    </w:p>
    <w:p w:rsidR="003448FA" w:rsidRPr="003448FA" w:rsidRDefault="003448FA" w:rsidP="003448FA">
      <w:pPr>
        <w:jc w:val="both"/>
        <w:rPr>
          <w:sz w:val="22"/>
          <w:szCs w:val="22"/>
          <w:lang w:eastAsia="it-IT"/>
        </w:rPr>
      </w:pPr>
      <w:r w:rsidRPr="003448FA">
        <w:rPr>
          <w:sz w:val="22"/>
          <w:szCs w:val="22"/>
          <w:lang w:eastAsia="it-IT"/>
        </w:rPr>
        <w:t>L’</w:t>
      </w:r>
      <w:r w:rsidRPr="003448FA">
        <w:rPr>
          <w:b/>
          <w:bCs/>
          <w:sz w:val="22"/>
          <w:szCs w:val="22"/>
          <w:lang w:eastAsia="it-IT"/>
        </w:rPr>
        <w:t xml:space="preserve">organico puntuale </w:t>
      </w:r>
      <w:r w:rsidRPr="003448FA">
        <w:rPr>
          <w:sz w:val="22"/>
          <w:szCs w:val="22"/>
          <w:lang w:eastAsia="it-IT"/>
        </w:rPr>
        <w:t xml:space="preserve">al 31 marzo 2015 è pari a </w:t>
      </w:r>
      <w:r w:rsidRPr="003448FA">
        <w:rPr>
          <w:b/>
          <w:bCs/>
          <w:sz w:val="22"/>
          <w:szCs w:val="22"/>
          <w:lang w:eastAsia="it-IT"/>
        </w:rPr>
        <w:t>3.963</w:t>
      </w:r>
      <w:r w:rsidRPr="003448FA">
        <w:rPr>
          <w:sz w:val="22"/>
          <w:szCs w:val="22"/>
          <w:lang w:eastAsia="it-IT"/>
        </w:rPr>
        <w:t xml:space="preserve"> risorse (al lordo degli attuali accordi di Cassa Integrazione e di Solidarietà), registrando un calo di 30 unità rispetto al pari periodo 2014, come saldo tra i piani di riorganizzazione che hanno coinvolto pressoché tutte le aree del Gruppo, operazioni di acquisizione e consolidamento societario e</w:t>
      </w:r>
      <w:r w:rsidR="004B60F6">
        <w:rPr>
          <w:sz w:val="22"/>
          <w:szCs w:val="22"/>
          <w:lang w:eastAsia="it-IT"/>
        </w:rPr>
        <w:t>d</w:t>
      </w:r>
      <w:r w:rsidRPr="003448FA">
        <w:rPr>
          <w:sz w:val="22"/>
          <w:szCs w:val="22"/>
          <w:lang w:eastAsia="it-IT"/>
        </w:rPr>
        <w:t xml:space="preserve"> inserimenti con finalità di sviluppo di nuovi business/attività. L’</w:t>
      </w:r>
      <w:r w:rsidRPr="003448FA">
        <w:rPr>
          <w:b/>
          <w:bCs/>
          <w:sz w:val="22"/>
          <w:szCs w:val="22"/>
          <w:lang w:eastAsia="it-IT"/>
        </w:rPr>
        <w:t xml:space="preserve">organico medio </w:t>
      </w:r>
      <w:r w:rsidRPr="003448FA">
        <w:rPr>
          <w:sz w:val="22"/>
          <w:szCs w:val="22"/>
          <w:lang w:eastAsia="it-IT"/>
        </w:rPr>
        <w:t xml:space="preserve">è pari a </w:t>
      </w:r>
      <w:r w:rsidRPr="003448FA">
        <w:rPr>
          <w:b/>
          <w:bCs/>
          <w:sz w:val="22"/>
          <w:szCs w:val="22"/>
          <w:lang w:eastAsia="it-IT"/>
        </w:rPr>
        <w:t>3.995</w:t>
      </w:r>
      <w:r w:rsidRPr="003448FA">
        <w:rPr>
          <w:sz w:val="22"/>
          <w:szCs w:val="22"/>
          <w:lang w:eastAsia="it-IT"/>
        </w:rPr>
        <w:t xml:space="preserve"> risorse in riduzione di 49 unità, comprendendo le variazioni di perimetro societario e di attività.</w:t>
      </w:r>
    </w:p>
    <w:p w:rsidR="00742ECA" w:rsidRPr="00265899" w:rsidRDefault="00742ECA" w:rsidP="004C00BF">
      <w:pPr>
        <w:widowControl/>
        <w:suppressAutoHyphens w:val="0"/>
        <w:jc w:val="both"/>
        <w:rPr>
          <w:color w:val="FF0000"/>
          <w:sz w:val="22"/>
          <w:szCs w:val="22"/>
          <w:highlight w:val="yellow"/>
          <w:lang w:eastAsia="it-IT"/>
        </w:rPr>
      </w:pPr>
    </w:p>
    <w:p w:rsidR="00CA4653" w:rsidRPr="004C00BF" w:rsidRDefault="00CA4653" w:rsidP="004C00BF">
      <w:pPr>
        <w:widowControl/>
        <w:suppressAutoHyphens w:val="0"/>
        <w:jc w:val="both"/>
        <w:rPr>
          <w:color w:val="FF0000"/>
          <w:sz w:val="22"/>
          <w:szCs w:val="22"/>
          <w:lang w:eastAsia="it-IT"/>
        </w:rPr>
      </w:pPr>
    </w:p>
    <w:p w:rsidR="00315214" w:rsidRDefault="00315214" w:rsidP="00FB79B0">
      <w:pPr>
        <w:widowControl/>
        <w:suppressAutoHyphens w:val="0"/>
        <w:jc w:val="both"/>
        <w:rPr>
          <w:b/>
          <w:bCs/>
          <w:sz w:val="22"/>
          <w:szCs w:val="22"/>
          <w:lang w:eastAsia="it-IT"/>
        </w:rPr>
      </w:pPr>
      <w:r w:rsidRPr="00315214">
        <w:rPr>
          <w:b/>
          <w:bCs/>
          <w:sz w:val="22"/>
          <w:szCs w:val="22"/>
          <w:lang w:eastAsia="it-IT"/>
        </w:rPr>
        <w:t xml:space="preserve">Commenti sull’andamento </w:t>
      </w:r>
      <w:r w:rsidR="000A22B2">
        <w:rPr>
          <w:b/>
          <w:bCs/>
          <w:sz w:val="22"/>
          <w:szCs w:val="22"/>
          <w:lang w:eastAsia="it-IT"/>
        </w:rPr>
        <w:t>al 3</w:t>
      </w:r>
      <w:r w:rsidR="00290800">
        <w:rPr>
          <w:b/>
          <w:bCs/>
          <w:sz w:val="22"/>
          <w:szCs w:val="22"/>
          <w:lang w:eastAsia="it-IT"/>
        </w:rPr>
        <w:t>1</w:t>
      </w:r>
      <w:r w:rsidR="000A22B2">
        <w:rPr>
          <w:b/>
          <w:bCs/>
          <w:sz w:val="22"/>
          <w:szCs w:val="22"/>
          <w:lang w:eastAsia="it-IT"/>
        </w:rPr>
        <w:t xml:space="preserve"> </w:t>
      </w:r>
      <w:r w:rsidR="00DB30D4">
        <w:rPr>
          <w:b/>
          <w:bCs/>
          <w:sz w:val="22"/>
          <w:szCs w:val="22"/>
          <w:lang w:eastAsia="it-IT"/>
        </w:rPr>
        <w:t>marzo 2015</w:t>
      </w:r>
    </w:p>
    <w:p w:rsidR="009F2938" w:rsidRPr="00D81F9E" w:rsidRDefault="009F2938" w:rsidP="00FB79B0">
      <w:pPr>
        <w:widowControl/>
        <w:suppressAutoHyphens w:val="0"/>
        <w:jc w:val="both"/>
        <w:rPr>
          <w:b/>
          <w:bCs/>
          <w:sz w:val="22"/>
          <w:szCs w:val="22"/>
          <w:lang w:eastAsia="it-IT"/>
        </w:rPr>
      </w:pPr>
    </w:p>
    <w:p w:rsidR="00D81F9E" w:rsidRPr="00146F9A" w:rsidRDefault="00D81F9E" w:rsidP="00D81F9E">
      <w:pPr>
        <w:jc w:val="both"/>
        <w:rPr>
          <w:color w:val="FF0000"/>
          <w:sz w:val="22"/>
          <w:szCs w:val="22"/>
          <w:lang w:eastAsia="it-IT"/>
        </w:rPr>
      </w:pPr>
      <w:r w:rsidRPr="00D81F9E">
        <w:rPr>
          <w:sz w:val="22"/>
          <w:szCs w:val="22"/>
          <w:lang w:eastAsia="it-IT"/>
        </w:rPr>
        <w:t xml:space="preserve">L’area </w:t>
      </w:r>
      <w:r w:rsidRPr="00D81F9E">
        <w:rPr>
          <w:b/>
          <w:bCs/>
          <w:sz w:val="22"/>
          <w:szCs w:val="22"/>
          <w:lang w:eastAsia="it-IT"/>
        </w:rPr>
        <w:t xml:space="preserve">Media Italia </w:t>
      </w:r>
      <w:r w:rsidRPr="00D81F9E">
        <w:rPr>
          <w:sz w:val="22"/>
          <w:szCs w:val="22"/>
          <w:lang w:eastAsia="it-IT"/>
        </w:rPr>
        <w:t xml:space="preserve">registra </w:t>
      </w:r>
      <w:r w:rsidRPr="00D81F9E">
        <w:rPr>
          <w:b/>
          <w:bCs/>
          <w:sz w:val="22"/>
          <w:szCs w:val="22"/>
          <w:lang w:eastAsia="it-IT"/>
        </w:rPr>
        <w:t xml:space="preserve">ricavi </w:t>
      </w:r>
      <w:r w:rsidRPr="00D81F9E">
        <w:rPr>
          <w:sz w:val="22"/>
          <w:szCs w:val="22"/>
          <w:lang w:eastAsia="it-IT"/>
        </w:rPr>
        <w:t xml:space="preserve">per 121,4 milioni di Euro (-1,1% rispetto al pari periodo 2014). Il calo è generato dal protrarsi della contrazione dei ricavi pubblicitari, </w:t>
      </w:r>
      <w:proofErr w:type="spellStart"/>
      <w:r w:rsidRPr="00D81F9E">
        <w:rPr>
          <w:sz w:val="22"/>
          <w:szCs w:val="22"/>
          <w:lang w:eastAsia="it-IT"/>
        </w:rPr>
        <w:t>pressochè</w:t>
      </w:r>
      <w:proofErr w:type="spellEnd"/>
      <w:r w:rsidRPr="00D81F9E">
        <w:rPr>
          <w:sz w:val="22"/>
          <w:szCs w:val="22"/>
          <w:lang w:eastAsia="it-IT"/>
        </w:rPr>
        <w:t xml:space="preserve"> totalmente compensato dalla crescita dei ricavi editoriali dovuta al buon andamento delle opere collaterali e all’aumento del prezzo delle testate cartacee.</w:t>
      </w:r>
      <w:r w:rsidR="00146F9A">
        <w:rPr>
          <w:color w:val="FF0000"/>
          <w:sz w:val="22"/>
          <w:szCs w:val="22"/>
          <w:lang w:eastAsia="it-IT"/>
        </w:rPr>
        <w:t xml:space="preserve"> </w:t>
      </w:r>
      <w:r w:rsidRPr="00D81F9E">
        <w:rPr>
          <w:sz w:val="22"/>
          <w:szCs w:val="22"/>
          <w:lang w:eastAsia="it-IT"/>
        </w:rPr>
        <w:t xml:space="preserve">I </w:t>
      </w:r>
      <w:r w:rsidRPr="00D81F9E">
        <w:rPr>
          <w:b/>
          <w:bCs/>
          <w:sz w:val="22"/>
          <w:szCs w:val="22"/>
          <w:lang w:eastAsia="it-IT"/>
        </w:rPr>
        <w:t>ricavi editoriali</w:t>
      </w:r>
      <w:r w:rsidRPr="00D81F9E">
        <w:rPr>
          <w:sz w:val="22"/>
          <w:szCs w:val="22"/>
          <w:lang w:eastAsia="it-IT"/>
        </w:rPr>
        <w:t xml:space="preserve"> sono pari a 72,9 milioni di Euro, con un incremento del 4,7% rispetto all’anno precedente. I </w:t>
      </w:r>
      <w:r w:rsidRPr="00D81F9E">
        <w:rPr>
          <w:b/>
          <w:bCs/>
          <w:sz w:val="22"/>
          <w:szCs w:val="22"/>
          <w:lang w:eastAsia="it-IT"/>
        </w:rPr>
        <w:t xml:space="preserve">ricavi pubblicitari </w:t>
      </w:r>
      <w:r w:rsidRPr="00D81F9E">
        <w:rPr>
          <w:sz w:val="22"/>
          <w:szCs w:val="22"/>
          <w:lang w:eastAsia="it-IT"/>
        </w:rPr>
        <w:t xml:space="preserve">sono pari a 43,2 milioni di Euro, in flessione del 9,1% rispetto all’anno precedente. La </w:t>
      </w:r>
      <w:r w:rsidRPr="00D81F9E">
        <w:rPr>
          <w:b/>
          <w:bCs/>
          <w:sz w:val="22"/>
          <w:szCs w:val="22"/>
          <w:lang w:eastAsia="it-IT"/>
        </w:rPr>
        <w:t>raccolta sui mezzi on-line</w:t>
      </w:r>
      <w:r w:rsidRPr="00D81F9E">
        <w:rPr>
          <w:sz w:val="22"/>
          <w:szCs w:val="22"/>
          <w:lang w:eastAsia="it-IT"/>
        </w:rPr>
        <w:t xml:space="preserve"> </w:t>
      </w:r>
      <w:r w:rsidRPr="00D81F9E">
        <w:rPr>
          <w:b/>
          <w:bCs/>
          <w:sz w:val="22"/>
          <w:szCs w:val="22"/>
          <w:lang w:eastAsia="it-IT"/>
        </w:rPr>
        <w:t>raggiunge il 22%</w:t>
      </w:r>
      <w:r w:rsidRPr="00D81F9E">
        <w:rPr>
          <w:sz w:val="22"/>
          <w:szCs w:val="22"/>
          <w:lang w:eastAsia="it-IT"/>
        </w:rPr>
        <w:t xml:space="preserve"> dei ricavi pubblicitari dell’area. I ricavi </w:t>
      </w:r>
      <w:r w:rsidRPr="00D81F9E">
        <w:rPr>
          <w:b/>
          <w:bCs/>
          <w:sz w:val="22"/>
          <w:szCs w:val="22"/>
          <w:lang w:eastAsia="it-IT"/>
        </w:rPr>
        <w:t>editoriali diversi</w:t>
      </w:r>
      <w:r w:rsidRPr="00D81F9E">
        <w:rPr>
          <w:sz w:val="22"/>
          <w:szCs w:val="22"/>
          <w:lang w:eastAsia="it-IT"/>
        </w:rPr>
        <w:t xml:space="preserve"> ammontano a 5,3 milioni, in lieve contrazione rispetto allo stesso periodo del 2014. Per quel che concerne le </w:t>
      </w:r>
      <w:r w:rsidRPr="00D81F9E">
        <w:rPr>
          <w:b/>
          <w:bCs/>
          <w:sz w:val="22"/>
          <w:szCs w:val="22"/>
          <w:lang w:eastAsia="it-IT"/>
        </w:rPr>
        <w:t>Attività Televisive</w:t>
      </w:r>
      <w:r w:rsidRPr="00D81F9E">
        <w:rPr>
          <w:sz w:val="22"/>
          <w:szCs w:val="22"/>
          <w:lang w:eastAsia="it-IT"/>
        </w:rPr>
        <w:t xml:space="preserve"> il calo dei ricavi da abbonati del canale </w:t>
      </w:r>
      <w:r w:rsidRPr="00D81F9E">
        <w:rPr>
          <w:i/>
          <w:iCs/>
          <w:sz w:val="22"/>
          <w:szCs w:val="22"/>
          <w:lang w:eastAsia="it-IT"/>
        </w:rPr>
        <w:t>Caccia e Pesca</w:t>
      </w:r>
      <w:r w:rsidRPr="00D81F9E">
        <w:rPr>
          <w:sz w:val="22"/>
          <w:szCs w:val="22"/>
          <w:lang w:eastAsia="it-IT"/>
        </w:rPr>
        <w:t xml:space="preserve"> è compensato dalla crescita della raccolta pubblicitaria di </w:t>
      </w:r>
      <w:r w:rsidRPr="00D81F9E">
        <w:rPr>
          <w:i/>
          <w:iCs/>
          <w:sz w:val="22"/>
          <w:szCs w:val="22"/>
          <w:lang w:eastAsia="it-IT"/>
        </w:rPr>
        <w:t>Lei</w:t>
      </w:r>
      <w:r w:rsidRPr="00D81F9E">
        <w:rPr>
          <w:sz w:val="22"/>
          <w:szCs w:val="22"/>
          <w:lang w:eastAsia="it-IT"/>
        </w:rPr>
        <w:t xml:space="preserve"> e </w:t>
      </w:r>
      <w:r w:rsidRPr="00D81F9E">
        <w:rPr>
          <w:i/>
          <w:iCs/>
          <w:sz w:val="22"/>
          <w:szCs w:val="22"/>
          <w:lang w:eastAsia="it-IT"/>
        </w:rPr>
        <w:t>Dove</w:t>
      </w:r>
      <w:r w:rsidRPr="00D81F9E">
        <w:rPr>
          <w:sz w:val="22"/>
          <w:szCs w:val="22"/>
          <w:lang w:eastAsia="it-IT"/>
        </w:rPr>
        <w:t>.</w:t>
      </w:r>
    </w:p>
    <w:p w:rsidR="00D81F9E" w:rsidRPr="00D81F9E" w:rsidRDefault="00D81F9E" w:rsidP="00D81F9E">
      <w:pPr>
        <w:jc w:val="both"/>
        <w:rPr>
          <w:sz w:val="22"/>
          <w:szCs w:val="22"/>
          <w:lang w:eastAsia="it-IT"/>
        </w:rPr>
      </w:pPr>
      <w:r w:rsidRPr="00D81F9E">
        <w:rPr>
          <w:sz w:val="22"/>
          <w:szCs w:val="22"/>
          <w:lang w:eastAsia="it-IT"/>
        </w:rPr>
        <w:t>L’</w:t>
      </w:r>
      <w:r w:rsidRPr="00D81F9E">
        <w:rPr>
          <w:b/>
          <w:bCs/>
          <w:sz w:val="22"/>
          <w:szCs w:val="22"/>
          <w:lang w:eastAsia="it-IT"/>
        </w:rPr>
        <w:t xml:space="preserve">EBITDA </w:t>
      </w:r>
      <w:r w:rsidRPr="00D81F9E">
        <w:rPr>
          <w:sz w:val="22"/>
          <w:szCs w:val="22"/>
          <w:lang w:eastAsia="it-IT"/>
        </w:rPr>
        <w:t>dei</w:t>
      </w:r>
      <w:r w:rsidRPr="00D81F9E">
        <w:rPr>
          <w:b/>
          <w:bCs/>
          <w:sz w:val="22"/>
          <w:szCs w:val="22"/>
          <w:lang w:eastAsia="it-IT"/>
        </w:rPr>
        <w:t xml:space="preserve"> </w:t>
      </w:r>
      <w:r w:rsidRPr="00D81F9E">
        <w:rPr>
          <w:sz w:val="22"/>
          <w:szCs w:val="22"/>
          <w:lang w:eastAsia="it-IT"/>
        </w:rPr>
        <w:t xml:space="preserve">primi tre mesi del 2015, negativo per 0,6 milioni, risulta </w:t>
      </w:r>
      <w:r w:rsidRPr="00D81F9E">
        <w:rPr>
          <w:b/>
          <w:bCs/>
          <w:sz w:val="22"/>
          <w:szCs w:val="22"/>
          <w:lang w:eastAsia="it-IT"/>
        </w:rPr>
        <w:t>in miglioramento di 2,6 milioni (+81,3</w:t>
      </w:r>
      <w:proofErr w:type="gramStart"/>
      <w:r w:rsidRPr="00D81F9E">
        <w:rPr>
          <w:b/>
          <w:bCs/>
          <w:sz w:val="22"/>
          <w:szCs w:val="22"/>
          <w:lang w:eastAsia="it-IT"/>
        </w:rPr>
        <w:t xml:space="preserve">%) </w:t>
      </w:r>
      <w:r w:rsidRPr="00D81F9E">
        <w:rPr>
          <w:sz w:val="22"/>
          <w:szCs w:val="22"/>
          <w:lang w:eastAsia="it-IT"/>
        </w:rPr>
        <w:t> rispetto</w:t>
      </w:r>
      <w:proofErr w:type="gramEnd"/>
      <w:r w:rsidRPr="00D81F9E">
        <w:rPr>
          <w:sz w:val="22"/>
          <w:szCs w:val="22"/>
          <w:lang w:eastAsia="it-IT"/>
        </w:rPr>
        <w:t xml:space="preserve"> al pari periodo 2014. Escludendo dal confronto gli oneri e proventi non ricorrenti (pari a 0,2 milioni di oneri netti nel primo trimestre 2015 e 2,6 milioni di oneri netti nel pari periodo 2014), l’EBITDA risulta pari a -0,4 milioni, registrando un miglioramento di 0,2 milioni rispetto al pari periodo del 2014.</w:t>
      </w:r>
    </w:p>
    <w:p w:rsidR="00D81F9E" w:rsidRPr="00D81F9E" w:rsidRDefault="00D81F9E" w:rsidP="00D81F9E">
      <w:pPr>
        <w:jc w:val="both"/>
        <w:rPr>
          <w:sz w:val="22"/>
          <w:szCs w:val="22"/>
          <w:lang w:eastAsia="it-IT"/>
        </w:rPr>
      </w:pPr>
      <w:r w:rsidRPr="00D81F9E">
        <w:rPr>
          <w:b/>
          <w:bCs/>
          <w:i/>
          <w:iCs/>
          <w:sz w:val="22"/>
          <w:szCs w:val="22"/>
          <w:lang w:eastAsia="it-IT"/>
        </w:rPr>
        <w:t xml:space="preserve">Corriere della Sera </w:t>
      </w:r>
      <w:r w:rsidRPr="00D81F9E">
        <w:rPr>
          <w:b/>
          <w:bCs/>
          <w:sz w:val="22"/>
          <w:szCs w:val="22"/>
          <w:lang w:eastAsia="it-IT"/>
        </w:rPr>
        <w:t xml:space="preserve">e </w:t>
      </w:r>
      <w:r w:rsidRPr="00D81F9E">
        <w:rPr>
          <w:b/>
          <w:bCs/>
          <w:i/>
          <w:iCs/>
          <w:sz w:val="22"/>
          <w:szCs w:val="22"/>
          <w:lang w:eastAsia="it-IT"/>
        </w:rPr>
        <w:t xml:space="preserve">La Gazzetta dello Sport </w:t>
      </w:r>
      <w:r w:rsidRPr="00D81F9E">
        <w:rPr>
          <w:b/>
          <w:bCs/>
          <w:sz w:val="22"/>
          <w:szCs w:val="22"/>
          <w:lang w:eastAsia="it-IT"/>
        </w:rPr>
        <w:t>confermano la loro posizione di leadership diffusionale</w:t>
      </w:r>
      <w:r w:rsidRPr="00D81F9E">
        <w:rPr>
          <w:sz w:val="22"/>
          <w:szCs w:val="22"/>
          <w:lang w:eastAsia="it-IT"/>
        </w:rPr>
        <w:t xml:space="preserve"> nei settori di riferimento. </w:t>
      </w:r>
      <w:r w:rsidRPr="00D81F9E">
        <w:rPr>
          <w:i/>
          <w:iCs/>
          <w:sz w:val="22"/>
          <w:szCs w:val="22"/>
          <w:lang w:eastAsia="it-IT"/>
        </w:rPr>
        <w:t>Corriere della Sera</w:t>
      </w:r>
      <w:r w:rsidRPr="00D81F9E">
        <w:rPr>
          <w:sz w:val="22"/>
          <w:szCs w:val="22"/>
          <w:lang w:eastAsia="it-IT"/>
        </w:rPr>
        <w:t xml:space="preserve"> si conferma leader nella diffusione complessiva e contrasta gli effetti del mercato sfavorevole, attestandosi a 466 mila copie medie diffuse includendo le copie digitali (-3,5% pari a 16 mila copie medie – Fonte interna). Le </w:t>
      </w:r>
      <w:r w:rsidRPr="00D81F9E">
        <w:rPr>
          <w:b/>
          <w:bCs/>
          <w:sz w:val="22"/>
          <w:szCs w:val="22"/>
          <w:lang w:eastAsia="it-IT"/>
        </w:rPr>
        <w:t>copie digitali</w:t>
      </w:r>
      <w:r w:rsidRPr="00D81F9E">
        <w:rPr>
          <w:sz w:val="22"/>
          <w:szCs w:val="22"/>
          <w:lang w:eastAsia="it-IT"/>
        </w:rPr>
        <w:t xml:space="preserve"> medie sono pari a 145 mila, in </w:t>
      </w:r>
      <w:r w:rsidRPr="00D81F9E">
        <w:rPr>
          <w:b/>
          <w:bCs/>
          <w:sz w:val="22"/>
          <w:szCs w:val="22"/>
          <w:lang w:eastAsia="it-IT"/>
        </w:rPr>
        <w:t>crescita del 23,9%</w:t>
      </w:r>
      <w:r w:rsidRPr="00D81F9E">
        <w:rPr>
          <w:sz w:val="22"/>
          <w:szCs w:val="22"/>
          <w:lang w:eastAsia="it-IT"/>
        </w:rPr>
        <w:t xml:space="preserve"> </w:t>
      </w:r>
      <w:r w:rsidRPr="00D81F9E">
        <w:rPr>
          <w:sz w:val="22"/>
          <w:szCs w:val="22"/>
          <w:lang w:eastAsia="it-IT"/>
        </w:rPr>
        <w:lastRenderedPageBreak/>
        <w:t xml:space="preserve">rispetto al primo trimestre 2014. Inoltre, </w:t>
      </w:r>
      <w:r w:rsidRPr="00D81F9E">
        <w:rPr>
          <w:i/>
          <w:iCs/>
          <w:sz w:val="22"/>
          <w:szCs w:val="22"/>
          <w:lang w:eastAsia="it-IT"/>
        </w:rPr>
        <w:t>Corriere della Sera</w:t>
      </w:r>
      <w:r w:rsidRPr="00D81F9E">
        <w:rPr>
          <w:sz w:val="22"/>
          <w:szCs w:val="22"/>
          <w:lang w:eastAsia="it-IT"/>
        </w:rPr>
        <w:t xml:space="preserve">, sia nella sua versione cartacea sia digitale, si attesta in prima posizione tra i principali quotidiani italiani più letti tra i lettori adulti maggiori di 14 anni (Fonte: </w:t>
      </w:r>
      <w:proofErr w:type="spellStart"/>
      <w:r w:rsidRPr="00D81F9E">
        <w:rPr>
          <w:sz w:val="22"/>
          <w:szCs w:val="22"/>
          <w:lang w:eastAsia="it-IT"/>
        </w:rPr>
        <w:t>Audipress</w:t>
      </w:r>
      <w:proofErr w:type="spellEnd"/>
      <w:r w:rsidRPr="00D81F9E">
        <w:rPr>
          <w:sz w:val="22"/>
          <w:szCs w:val="22"/>
          <w:lang w:eastAsia="it-IT"/>
        </w:rPr>
        <w:t xml:space="preserve">). Le diffusioni totali de </w:t>
      </w:r>
      <w:r w:rsidRPr="00D81F9E">
        <w:rPr>
          <w:i/>
          <w:iCs/>
          <w:sz w:val="22"/>
          <w:szCs w:val="22"/>
          <w:lang w:eastAsia="it-IT"/>
        </w:rPr>
        <w:t>La Gazzetta dello Sport</w:t>
      </w:r>
      <w:r w:rsidRPr="00D81F9E">
        <w:rPr>
          <w:sz w:val="22"/>
          <w:szCs w:val="22"/>
          <w:lang w:eastAsia="it-IT"/>
        </w:rPr>
        <w:t xml:space="preserve"> nel primo trimestre del 2015, pari a 248 mila copie medie (includendo 49 mila copie medie digitali), sono in calo del 5,3% ris</w:t>
      </w:r>
      <w:r w:rsidR="00E21D6E">
        <w:rPr>
          <w:sz w:val="22"/>
          <w:szCs w:val="22"/>
          <w:lang w:eastAsia="it-IT"/>
        </w:rPr>
        <w:t>petto al primo trimestre 2014:</w:t>
      </w:r>
      <w:r w:rsidRPr="00D81F9E">
        <w:rPr>
          <w:sz w:val="22"/>
          <w:szCs w:val="22"/>
          <w:lang w:eastAsia="it-IT"/>
        </w:rPr>
        <w:t xml:space="preserve"> la crescita delle copie </w:t>
      </w:r>
      <w:r w:rsidR="00CE3DA1">
        <w:rPr>
          <w:sz w:val="22"/>
          <w:szCs w:val="22"/>
          <w:lang w:eastAsia="it-IT"/>
        </w:rPr>
        <w:t xml:space="preserve">medie </w:t>
      </w:r>
      <w:r w:rsidRPr="00D81F9E">
        <w:rPr>
          <w:sz w:val="22"/>
          <w:szCs w:val="22"/>
          <w:lang w:eastAsia="it-IT"/>
        </w:rPr>
        <w:t xml:space="preserve">digitali (+2,1% rispetto al pari periodo 2014) compensa in parte il calo delle copie cartacee (Fonte Interna). Tra i quotidiani sportivi di maggior rilievo in Italia </w:t>
      </w:r>
      <w:r w:rsidRPr="00D81F9E">
        <w:rPr>
          <w:i/>
          <w:iCs/>
          <w:sz w:val="22"/>
          <w:szCs w:val="22"/>
          <w:lang w:eastAsia="it-IT"/>
        </w:rPr>
        <w:t>La Gazzetta dello Sport</w:t>
      </w:r>
      <w:r w:rsidRPr="00D81F9E">
        <w:rPr>
          <w:sz w:val="22"/>
          <w:szCs w:val="22"/>
          <w:lang w:eastAsia="it-IT"/>
        </w:rPr>
        <w:t xml:space="preserve"> risulta essere il più letto tra gli adulti, raggiungendo più del doppio dei lettori rispetto al secondo competitor (Fonte: </w:t>
      </w:r>
      <w:proofErr w:type="spellStart"/>
      <w:r w:rsidRPr="00D81F9E">
        <w:rPr>
          <w:sz w:val="22"/>
          <w:szCs w:val="22"/>
          <w:lang w:eastAsia="it-IT"/>
        </w:rPr>
        <w:t>Audipress</w:t>
      </w:r>
      <w:proofErr w:type="spellEnd"/>
      <w:r w:rsidRPr="00D81F9E">
        <w:rPr>
          <w:sz w:val="22"/>
          <w:szCs w:val="22"/>
          <w:lang w:eastAsia="it-IT"/>
        </w:rPr>
        <w:t xml:space="preserve">). I browser unici medi mensili del sito </w:t>
      </w:r>
      <w:r w:rsidRPr="00D81F9E">
        <w:rPr>
          <w:b/>
          <w:bCs/>
          <w:sz w:val="22"/>
          <w:szCs w:val="22"/>
          <w:lang w:eastAsia="it-IT"/>
        </w:rPr>
        <w:t>corriere.it</w:t>
      </w:r>
      <w:r w:rsidRPr="00D81F9E">
        <w:rPr>
          <w:sz w:val="22"/>
          <w:szCs w:val="22"/>
          <w:lang w:eastAsia="it-IT"/>
        </w:rPr>
        <w:t xml:space="preserve"> hanno raggiunto i 40,3 milioni, in crescita del 13,5% rispetto allo stesso periodo del 2014 (Fonte Adobe </w:t>
      </w:r>
      <w:proofErr w:type="spellStart"/>
      <w:r w:rsidRPr="00D81F9E">
        <w:rPr>
          <w:sz w:val="22"/>
          <w:szCs w:val="22"/>
          <w:lang w:eastAsia="it-IT"/>
        </w:rPr>
        <w:t>Sitecatalyst</w:t>
      </w:r>
      <w:proofErr w:type="spellEnd"/>
      <w:r w:rsidRPr="00D81F9E">
        <w:rPr>
          <w:sz w:val="22"/>
          <w:szCs w:val="22"/>
          <w:lang w:eastAsia="it-IT"/>
        </w:rPr>
        <w:t xml:space="preserve">), mentre il sito </w:t>
      </w:r>
      <w:r w:rsidRPr="00D81F9E">
        <w:rPr>
          <w:b/>
          <w:bCs/>
          <w:sz w:val="22"/>
          <w:szCs w:val="22"/>
          <w:lang w:eastAsia="it-IT"/>
        </w:rPr>
        <w:t>gazzetta.it</w:t>
      </w:r>
      <w:r w:rsidRPr="00D81F9E">
        <w:rPr>
          <w:sz w:val="22"/>
          <w:szCs w:val="22"/>
          <w:lang w:eastAsia="it-IT"/>
        </w:rPr>
        <w:t xml:space="preserve"> ha registrato browser unici medi mensili pari a 21,4 milioni, in crescita del 51,8% rispetto ai primi tre mesi del 2014 (Fonte Adobe </w:t>
      </w:r>
      <w:proofErr w:type="spellStart"/>
      <w:r w:rsidRPr="00D81F9E">
        <w:rPr>
          <w:sz w:val="22"/>
          <w:szCs w:val="22"/>
          <w:lang w:eastAsia="it-IT"/>
        </w:rPr>
        <w:t>Sitecatalyst</w:t>
      </w:r>
      <w:proofErr w:type="spellEnd"/>
      <w:r w:rsidRPr="00D81F9E">
        <w:rPr>
          <w:sz w:val="22"/>
          <w:szCs w:val="22"/>
          <w:lang w:eastAsia="it-IT"/>
        </w:rPr>
        <w:t xml:space="preserve">). Le edizioni digitali dei due quotidiani </w:t>
      </w:r>
      <w:r w:rsidR="000328C8">
        <w:rPr>
          <w:sz w:val="22"/>
          <w:szCs w:val="22"/>
          <w:lang w:eastAsia="it-IT"/>
        </w:rPr>
        <w:t>si attestano a</w:t>
      </w:r>
      <w:r w:rsidRPr="00D81F9E">
        <w:rPr>
          <w:sz w:val="22"/>
          <w:szCs w:val="22"/>
          <w:lang w:eastAsia="it-IT"/>
        </w:rPr>
        <w:t xml:space="preserve"> 157 mila abbonamenti attivi, con una crescita del 3,9% rispetto al primo trimestre 2014. Nei primi tre mesi sono state scaricate 2,7 milioni di edizioni digitali, in crescita del 19,6% rispetto allo stesso periodo del 2014. Per quanto riguarda le versioni mobile dei due siti, nel primo trimestre 2015 </w:t>
      </w:r>
      <w:r w:rsidRPr="00D81F9E">
        <w:rPr>
          <w:i/>
          <w:iCs/>
          <w:sz w:val="22"/>
          <w:szCs w:val="22"/>
          <w:lang w:eastAsia="it-IT"/>
        </w:rPr>
        <w:t>Corriere Mobile</w:t>
      </w:r>
      <w:r w:rsidRPr="00D81F9E">
        <w:rPr>
          <w:sz w:val="22"/>
          <w:szCs w:val="22"/>
          <w:lang w:eastAsia="it-IT"/>
        </w:rPr>
        <w:t xml:space="preserve"> ha registrato 12,7 milioni di browser unici e </w:t>
      </w:r>
      <w:r w:rsidRPr="00D81F9E">
        <w:rPr>
          <w:i/>
          <w:iCs/>
          <w:sz w:val="22"/>
          <w:szCs w:val="22"/>
          <w:lang w:eastAsia="it-IT"/>
        </w:rPr>
        <w:t xml:space="preserve">Gazzetta Mobile </w:t>
      </w:r>
      <w:r w:rsidRPr="00D81F9E">
        <w:rPr>
          <w:sz w:val="22"/>
          <w:szCs w:val="22"/>
          <w:lang w:eastAsia="it-IT"/>
        </w:rPr>
        <w:t xml:space="preserve">ha raggiunto 8,7 milioni di browser unici, triplicando entrambi i dati rilevati nello stesso periodo del 2014 (Fonte: Adobe </w:t>
      </w:r>
      <w:proofErr w:type="spellStart"/>
      <w:r w:rsidRPr="00D81F9E">
        <w:rPr>
          <w:sz w:val="22"/>
          <w:szCs w:val="22"/>
          <w:lang w:eastAsia="it-IT"/>
        </w:rPr>
        <w:t>SiteCatalyst</w:t>
      </w:r>
      <w:proofErr w:type="spellEnd"/>
      <w:r w:rsidRPr="00D81F9E">
        <w:rPr>
          <w:sz w:val="22"/>
          <w:szCs w:val="22"/>
          <w:lang w:eastAsia="it-IT"/>
        </w:rPr>
        <w:t xml:space="preserve">). </w:t>
      </w:r>
      <w:r w:rsidR="00730A5C">
        <w:rPr>
          <w:sz w:val="22"/>
          <w:szCs w:val="22"/>
          <w:lang w:eastAsia="it-IT"/>
        </w:rPr>
        <w:t xml:space="preserve">Ad arricchire ulteriormente il Sistema Gazzetta, da febbraio è partita la programmazione di </w:t>
      </w:r>
      <w:proofErr w:type="spellStart"/>
      <w:r w:rsidR="00730A5C" w:rsidRPr="00730A5C">
        <w:rPr>
          <w:b/>
          <w:sz w:val="22"/>
          <w:szCs w:val="22"/>
          <w:lang w:eastAsia="it-IT"/>
        </w:rPr>
        <w:t>GazzettaTV</w:t>
      </w:r>
      <w:proofErr w:type="spellEnd"/>
      <w:r w:rsidR="00730A5C" w:rsidRPr="00730A5C">
        <w:rPr>
          <w:b/>
          <w:sz w:val="22"/>
          <w:szCs w:val="22"/>
          <w:lang w:eastAsia="it-IT"/>
        </w:rPr>
        <w:t xml:space="preserve"> sul canale 59 del digitale terrestre</w:t>
      </w:r>
      <w:r w:rsidR="00730A5C">
        <w:rPr>
          <w:sz w:val="22"/>
          <w:szCs w:val="22"/>
          <w:lang w:eastAsia="it-IT"/>
        </w:rPr>
        <w:t xml:space="preserve">, potenziando il percorso strategico di innovazione che pone </w:t>
      </w:r>
      <w:r w:rsidR="00730A5C" w:rsidRPr="00730A5C">
        <w:rPr>
          <w:b/>
          <w:i/>
          <w:sz w:val="22"/>
          <w:szCs w:val="22"/>
          <w:lang w:eastAsia="it-IT"/>
        </w:rPr>
        <w:t>Gazzetta</w:t>
      </w:r>
      <w:r w:rsidR="00730A5C" w:rsidRPr="00730A5C">
        <w:rPr>
          <w:b/>
          <w:sz w:val="22"/>
          <w:szCs w:val="22"/>
          <w:lang w:eastAsia="it-IT"/>
        </w:rPr>
        <w:t xml:space="preserve"> all’avanguardia come grande laboratorio giornalistico</w:t>
      </w:r>
      <w:r w:rsidR="00730A5C">
        <w:rPr>
          <w:sz w:val="22"/>
          <w:szCs w:val="22"/>
          <w:lang w:eastAsia="it-IT"/>
        </w:rPr>
        <w:t xml:space="preserve"> che unisce tutti i media, garantendo ai suoi appassionati un’offerta a 360°.</w:t>
      </w:r>
    </w:p>
    <w:p w:rsidR="00D81F9E" w:rsidRPr="00D81F9E" w:rsidRDefault="00D81F9E" w:rsidP="00D81F9E">
      <w:pPr>
        <w:jc w:val="both"/>
        <w:rPr>
          <w:sz w:val="22"/>
          <w:szCs w:val="22"/>
          <w:lang w:eastAsia="it-IT"/>
        </w:rPr>
      </w:pPr>
      <w:r w:rsidRPr="00730A5C">
        <w:rPr>
          <w:bCs/>
          <w:sz w:val="22"/>
          <w:szCs w:val="22"/>
          <w:lang w:eastAsia="it-IT"/>
        </w:rPr>
        <w:t>Continua</w:t>
      </w:r>
      <w:r w:rsidR="00730A5C" w:rsidRPr="00730A5C">
        <w:rPr>
          <w:bCs/>
          <w:sz w:val="22"/>
          <w:szCs w:val="22"/>
          <w:lang w:eastAsia="it-IT"/>
        </w:rPr>
        <w:t xml:space="preserve"> infine</w:t>
      </w:r>
      <w:r w:rsidRPr="00730A5C">
        <w:rPr>
          <w:bCs/>
          <w:sz w:val="22"/>
          <w:szCs w:val="22"/>
          <w:lang w:eastAsia="it-IT"/>
        </w:rPr>
        <w:t xml:space="preserve"> </w:t>
      </w:r>
      <w:r w:rsidRPr="00D81F9E">
        <w:rPr>
          <w:b/>
          <w:bCs/>
          <w:sz w:val="22"/>
          <w:szCs w:val="22"/>
          <w:lang w:eastAsia="it-IT"/>
        </w:rPr>
        <w:t xml:space="preserve">la crescita dei siti web del </w:t>
      </w:r>
      <w:r w:rsidRPr="00D81F9E">
        <w:rPr>
          <w:b/>
          <w:bCs/>
          <w:i/>
          <w:iCs/>
          <w:sz w:val="22"/>
          <w:szCs w:val="22"/>
          <w:lang w:eastAsia="it-IT"/>
        </w:rPr>
        <w:t>Sistema Verticali</w:t>
      </w:r>
      <w:r w:rsidRPr="00D81F9E">
        <w:rPr>
          <w:sz w:val="22"/>
          <w:szCs w:val="22"/>
          <w:lang w:eastAsia="it-IT"/>
        </w:rPr>
        <w:t xml:space="preserve">, registrando ottimi andamenti in particolare per </w:t>
      </w:r>
      <w:r w:rsidRPr="00D81F9E">
        <w:rPr>
          <w:i/>
          <w:iCs/>
          <w:sz w:val="22"/>
          <w:szCs w:val="22"/>
          <w:lang w:eastAsia="it-IT"/>
        </w:rPr>
        <w:t>IoDonna.it</w:t>
      </w:r>
      <w:r w:rsidRPr="00D81F9E">
        <w:rPr>
          <w:sz w:val="22"/>
          <w:szCs w:val="22"/>
          <w:lang w:eastAsia="it-IT"/>
        </w:rPr>
        <w:t>, oggetto di un restyling lanciato il 13 aprile</w:t>
      </w:r>
      <w:r w:rsidR="00CE3DA1">
        <w:rPr>
          <w:sz w:val="22"/>
          <w:szCs w:val="22"/>
          <w:lang w:eastAsia="it-IT"/>
        </w:rPr>
        <w:t>,</w:t>
      </w:r>
      <w:r w:rsidRPr="00D81F9E">
        <w:rPr>
          <w:sz w:val="22"/>
          <w:szCs w:val="22"/>
          <w:lang w:eastAsia="it-IT"/>
        </w:rPr>
        <w:t xml:space="preserve"> </w:t>
      </w:r>
      <w:r w:rsidR="00CE3DA1">
        <w:rPr>
          <w:i/>
          <w:iCs/>
          <w:sz w:val="22"/>
          <w:szCs w:val="22"/>
          <w:lang w:eastAsia="it-IT"/>
        </w:rPr>
        <w:t>l</w:t>
      </w:r>
      <w:r w:rsidR="00CE3DA1" w:rsidRPr="00D81F9E">
        <w:rPr>
          <w:i/>
          <w:iCs/>
          <w:sz w:val="22"/>
          <w:szCs w:val="22"/>
          <w:lang w:eastAsia="it-IT"/>
        </w:rPr>
        <w:t>iving</w:t>
      </w:r>
      <w:r w:rsidRPr="00D81F9E">
        <w:rPr>
          <w:i/>
          <w:iCs/>
          <w:sz w:val="22"/>
          <w:szCs w:val="22"/>
          <w:lang w:eastAsia="it-IT"/>
        </w:rPr>
        <w:t>.corriere.it</w:t>
      </w:r>
      <w:r w:rsidRPr="00D81F9E">
        <w:rPr>
          <w:sz w:val="22"/>
          <w:szCs w:val="22"/>
          <w:lang w:eastAsia="it-IT"/>
        </w:rPr>
        <w:t xml:space="preserve"> che conferma la leadership RCS nel segmento del lusso e arredamento</w:t>
      </w:r>
      <w:r w:rsidR="00CE3DA1">
        <w:rPr>
          <w:sz w:val="22"/>
          <w:szCs w:val="22"/>
          <w:lang w:eastAsia="it-IT"/>
        </w:rPr>
        <w:t xml:space="preserve"> e </w:t>
      </w:r>
      <w:r w:rsidR="00CE3DA1" w:rsidRPr="00D26308">
        <w:rPr>
          <w:i/>
          <w:sz w:val="22"/>
          <w:szCs w:val="22"/>
          <w:lang w:eastAsia="it-IT"/>
        </w:rPr>
        <w:t>oggi.it</w:t>
      </w:r>
      <w:r w:rsidR="00CE3DA1">
        <w:rPr>
          <w:sz w:val="22"/>
          <w:szCs w:val="22"/>
          <w:lang w:eastAsia="it-IT"/>
        </w:rPr>
        <w:t>, che registra un</w:t>
      </w:r>
      <w:r w:rsidR="00344E3A">
        <w:rPr>
          <w:sz w:val="22"/>
          <w:szCs w:val="22"/>
          <w:lang w:eastAsia="it-IT"/>
        </w:rPr>
        <w:t xml:space="preserve"> </w:t>
      </w:r>
      <w:r w:rsidR="00CE3DA1">
        <w:rPr>
          <w:sz w:val="22"/>
          <w:szCs w:val="22"/>
          <w:lang w:eastAsia="it-IT"/>
        </w:rPr>
        <w:t>+25% di browser unici, raggiungendo i 5,7 milioni</w:t>
      </w:r>
      <w:r w:rsidRPr="00D81F9E">
        <w:rPr>
          <w:sz w:val="22"/>
          <w:szCs w:val="22"/>
          <w:lang w:eastAsia="it-IT"/>
        </w:rPr>
        <w:t xml:space="preserve">.                 </w:t>
      </w:r>
    </w:p>
    <w:p w:rsidR="00D81F9E" w:rsidRPr="00D81F9E" w:rsidRDefault="00D81F9E" w:rsidP="00D81F9E">
      <w:pPr>
        <w:jc w:val="both"/>
        <w:rPr>
          <w:sz w:val="22"/>
          <w:szCs w:val="22"/>
          <w:lang w:eastAsia="it-IT"/>
        </w:rPr>
      </w:pPr>
    </w:p>
    <w:p w:rsidR="00E5108E" w:rsidRPr="00D81F9E" w:rsidRDefault="00D81F9E" w:rsidP="00E5108E">
      <w:pPr>
        <w:widowControl/>
        <w:suppressAutoHyphens w:val="0"/>
        <w:jc w:val="both"/>
        <w:rPr>
          <w:sz w:val="22"/>
          <w:szCs w:val="22"/>
          <w:lang w:eastAsia="it-IT"/>
        </w:rPr>
      </w:pPr>
      <w:r w:rsidRPr="00D81F9E">
        <w:rPr>
          <w:sz w:val="22"/>
          <w:szCs w:val="22"/>
          <w:lang w:eastAsia="it-IT"/>
        </w:rPr>
        <w:t xml:space="preserve">L’area </w:t>
      </w:r>
      <w:r w:rsidRPr="00D81F9E">
        <w:rPr>
          <w:b/>
          <w:bCs/>
          <w:sz w:val="22"/>
          <w:szCs w:val="22"/>
          <w:lang w:eastAsia="it-IT"/>
        </w:rPr>
        <w:t>Media Spagna</w:t>
      </w:r>
      <w:r w:rsidRPr="00D81F9E">
        <w:rPr>
          <w:sz w:val="22"/>
          <w:szCs w:val="22"/>
          <w:lang w:eastAsia="it-IT"/>
        </w:rPr>
        <w:t xml:space="preserve"> registra </w:t>
      </w:r>
      <w:r w:rsidRPr="00D81F9E">
        <w:rPr>
          <w:b/>
          <w:bCs/>
          <w:sz w:val="22"/>
          <w:szCs w:val="22"/>
          <w:lang w:eastAsia="it-IT"/>
        </w:rPr>
        <w:t xml:space="preserve">ricavi </w:t>
      </w:r>
      <w:r w:rsidRPr="00D81F9E">
        <w:rPr>
          <w:sz w:val="22"/>
          <w:szCs w:val="22"/>
          <w:lang w:eastAsia="it-IT"/>
        </w:rPr>
        <w:t xml:space="preserve">per 73 milioni di Euro rispetto ai 79,7 milioni del primo trimestre 2014. I </w:t>
      </w:r>
      <w:r w:rsidRPr="00D81F9E">
        <w:rPr>
          <w:b/>
          <w:bCs/>
          <w:sz w:val="22"/>
          <w:szCs w:val="22"/>
          <w:lang w:eastAsia="it-IT"/>
        </w:rPr>
        <w:t xml:space="preserve">ricavi pubblicitari </w:t>
      </w:r>
      <w:r w:rsidRPr="00D81F9E">
        <w:rPr>
          <w:sz w:val="22"/>
          <w:szCs w:val="22"/>
          <w:lang w:eastAsia="it-IT"/>
        </w:rPr>
        <w:t>so</w:t>
      </w:r>
      <w:r w:rsidR="005E7A5E">
        <w:rPr>
          <w:sz w:val="22"/>
          <w:szCs w:val="22"/>
          <w:lang w:eastAsia="it-IT"/>
        </w:rPr>
        <w:t xml:space="preserve">no pari a 30,6 milioni di Euro, in linea con i 30,9 milioni al 31 marzo 2014, </w:t>
      </w:r>
      <w:r w:rsidRPr="00D81F9E">
        <w:rPr>
          <w:sz w:val="22"/>
          <w:szCs w:val="22"/>
          <w:lang w:eastAsia="it-IT"/>
        </w:rPr>
        <w:t xml:space="preserve">e la raccolta pubblicitaria complessiva sui mezzi </w:t>
      </w:r>
      <w:r w:rsidRPr="00D81F9E">
        <w:rPr>
          <w:b/>
          <w:bCs/>
          <w:sz w:val="22"/>
          <w:szCs w:val="22"/>
          <w:lang w:eastAsia="it-IT"/>
        </w:rPr>
        <w:t>on-line ha raggiunto il 3</w:t>
      </w:r>
      <w:r w:rsidR="00AE4F59">
        <w:rPr>
          <w:b/>
          <w:bCs/>
          <w:sz w:val="22"/>
          <w:szCs w:val="22"/>
          <w:lang w:eastAsia="it-IT"/>
        </w:rPr>
        <w:t>2</w:t>
      </w:r>
      <w:r w:rsidRPr="00D81F9E">
        <w:rPr>
          <w:b/>
          <w:bCs/>
          <w:sz w:val="22"/>
          <w:szCs w:val="22"/>
          <w:lang w:eastAsia="it-IT"/>
        </w:rPr>
        <w:t>%</w:t>
      </w:r>
      <w:r w:rsidRPr="00D81F9E">
        <w:rPr>
          <w:sz w:val="22"/>
          <w:szCs w:val="22"/>
          <w:lang w:eastAsia="it-IT"/>
        </w:rPr>
        <w:t xml:space="preserve"> circa del totale dei ricavi pubblicitari netti. I </w:t>
      </w:r>
      <w:r w:rsidRPr="00D81F9E">
        <w:rPr>
          <w:b/>
          <w:bCs/>
          <w:sz w:val="22"/>
          <w:szCs w:val="22"/>
          <w:lang w:eastAsia="it-IT"/>
        </w:rPr>
        <w:t xml:space="preserve">ricavi editoriali </w:t>
      </w:r>
      <w:r w:rsidRPr="00D81F9E">
        <w:rPr>
          <w:sz w:val="22"/>
          <w:szCs w:val="22"/>
          <w:lang w:eastAsia="it-IT"/>
        </w:rPr>
        <w:t xml:space="preserve">sono pari a 34,2 milioni di Euro, evidenziando un decremento di 5,6 milioni a seguito della generalizzata flessione delle diffusioni. I </w:t>
      </w:r>
      <w:r w:rsidRPr="00D81F9E">
        <w:rPr>
          <w:b/>
          <w:bCs/>
          <w:sz w:val="22"/>
          <w:szCs w:val="22"/>
          <w:lang w:eastAsia="it-IT"/>
        </w:rPr>
        <w:t>ricavi diversi</w:t>
      </w:r>
      <w:r w:rsidRPr="00D81F9E">
        <w:rPr>
          <w:sz w:val="22"/>
          <w:szCs w:val="22"/>
          <w:lang w:eastAsia="it-IT"/>
        </w:rPr>
        <w:t>, pari a 8,2 milioni di Euro, presentano un decremento di 0,8 milioni rispetto allo stesso periodo dell’anno 2014, principalmente per effetto della chiusura di due canali televisivi.</w:t>
      </w:r>
      <w:r w:rsidR="00E5108E" w:rsidRPr="00E5108E">
        <w:rPr>
          <w:sz w:val="22"/>
          <w:szCs w:val="22"/>
          <w:lang w:eastAsia="it-IT"/>
        </w:rPr>
        <w:t xml:space="preserve"> </w:t>
      </w:r>
      <w:r w:rsidR="00E5108E" w:rsidRPr="00D81F9E">
        <w:rPr>
          <w:sz w:val="22"/>
          <w:szCs w:val="22"/>
          <w:lang w:eastAsia="it-IT"/>
        </w:rPr>
        <w:t>L’</w:t>
      </w:r>
      <w:r w:rsidR="00E5108E" w:rsidRPr="00D81F9E">
        <w:rPr>
          <w:b/>
          <w:bCs/>
          <w:sz w:val="22"/>
          <w:szCs w:val="22"/>
          <w:lang w:eastAsia="it-IT"/>
        </w:rPr>
        <w:t xml:space="preserve">EBITDA </w:t>
      </w:r>
      <w:r w:rsidR="00E5108E" w:rsidRPr="00D81F9E">
        <w:rPr>
          <w:sz w:val="22"/>
          <w:szCs w:val="22"/>
          <w:lang w:eastAsia="it-IT"/>
        </w:rPr>
        <w:t>è negativo per 2,5 milioni di Euro (negativo per 20,6 milioni al 31 marzo 2014) evidenziando un miglioramento di 18,1 milioni; escludendo oneri e proventi non ricorrenti si attesta a -2,4 milioni rispetto ai -7 milioni del pari periodo 2014.</w:t>
      </w:r>
    </w:p>
    <w:p w:rsidR="00D81F9E" w:rsidRPr="00D81F9E" w:rsidRDefault="00D81F9E" w:rsidP="00D81F9E">
      <w:pPr>
        <w:jc w:val="both"/>
        <w:rPr>
          <w:sz w:val="22"/>
          <w:szCs w:val="22"/>
          <w:lang w:eastAsia="it-IT"/>
        </w:rPr>
      </w:pPr>
      <w:proofErr w:type="spellStart"/>
      <w:r w:rsidRPr="00D81F9E">
        <w:rPr>
          <w:b/>
          <w:bCs/>
          <w:i/>
          <w:iCs/>
          <w:sz w:val="22"/>
          <w:szCs w:val="22"/>
          <w:lang w:eastAsia="it-IT"/>
        </w:rPr>
        <w:t>El</w:t>
      </w:r>
      <w:proofErr w:type="spellEnd"/>
      <w:r w:rsidRPr="00D81F9E">
        <w:rPr>
          <w:b/>
          <w:bCs/>
          <w:i/>
          <w:iCs/>
          <w:sz w:val="22"/>
          <w:szCs w:val="22"/>
          <w:lang w:eastAsia="it-IT"/>
        </w:rPr>
        <w:t xml:space="preserve"> </w:t>
      </w:r>
      <w:proofErr w:type="spellStart"/>
      <w:r w:rsidRPr="00D81F9E">
        <w:rPr>
          <w:b/>
          <w:bCs/>
          <w:i/>
          <w:iCs/>
          <w:sz w:val="22"/>
          <w:szCs w:val="22"/>
          <w:lang w:eastAsia="it-IT"/>
        </w:rPr>
        <w:t>Mundo</w:t>
      </w:r>
      <w:proofErr w:type="spellEnd"/>
      <w:r w:rsidRPr="00D81F9E">
        <w:rPr>
          <w:b/>
          <w:bCs/>
          <w:i/>
          <w:iCs/>
          <w:sz w:val="22"/>
          <w:szCs w:val="22"/>
          <w:lang w:eastAsia="it-IT"/>
        </w:rPr>
        <w:t xml:space="preserve"> </w:t>
      </w:r>
      <w:r w:rsidRPr="00D81F9E">
        <w:rPr>
          <w:b/>
          <w:bCs/>
          <w:sz w:val="22"/>
          <w:szCs w:val="22"/>
          <w:lang w:eastAsia="it-IT"/>
        </w:rPr>
        <w:t>si conferma secondo quotidiano nazionale</w:t>
      </w:r>
      <w:r w:rsidRPr="00D81F9E">
        <w:rPr>
          <w:sz w:val="22"/>
          <w:szCs w:val="22"/>
          <w:lang w:eastAsia="it-IT"/>
        </w:rPr>
        <w:t xml:space="preserve"> con 164 mila copie medie giornaliere, incluse le copie digitali, mentre </w:t>
      </w:r>
      <w:r w:rsidRPr="00D81F9E">
        <w:rPr>
          <w:b/>
          <w:bCs/>
          <w:i/>
          <w:iCs/>
          <w:sz w:val="22"/>
          <w:szCs w:val="22"/>
          <w:lang w:eastAsia="it-IT"/>
        </w:rPr>
        <w:t xml:space="preserve">Marca </w:t>
      </w:r>
      <w:r w:rsidRPr="00D81F9E">
        <w:rPr>
          <w:b/>
          <w:bCs/>
          <w:sz w:val="22"/>
          <w:szCs w:val="22"/>
          <w:lang w:eastAsia="it-IT"/>
        </w:rPr>
        <w:t>– testata leader nell’informazione sportiva</w:t>
      </w:r>
      <w:r w:rsidRPr="00D81F9E">
        <w:rPr>
          <w:sz w:val="22"/>
          <w:szCs w:val="22"/>
          <w:lang w:eastAsia="it-IT"/>
        </w:rPr>
        <w:t xml:space="preserve"> – si attesta a 162 mila copie, includendo le edizioni digitali. Il sito </w:t>
      </w:r>
      <w:r w:rsidRPr="00D81F9E">
        <w:rPr>
          <w:i/>
          <w:iCs/>
          <w:sz w:val="22"/>
          <w:szCs w:val="22"/>
          <w:lang w:eastAsia="it-IT"/>
        </w:rPr>
        <w:t>elmundo.es</w:t>
      </w:r>
      <w:r w:rsidRPr="00D81F9E">
        <w:rPr>
          <w:sz w:val="22"/>
          <w:szCs w:val="22"/>
          <w:lang w:eastAsia="it-IT"/>
        </w:rPr>
        <w:t xml:space="preserve"> ha una media di 36,4 milioni di browser unici mensili (+ 13,8% rispetto al primo trimestre 2014), il sito </w:t>
      </w:r>
      <w:r w:rsidRPr="00D81F9E">
        <w:rPr>
          <w:i/>
          <w:iCs/>
          <w:sz w:val="22"/>
          <w:szCs w:val="22"/>
          <w:lang w:eastAsia="it-IT"/>
        </w:rPr>
        <w:t xml:space="preserve">marca.com </w:t>
      </w:r>
      <w:r w:rsidRPr="00D81F9E">
        <w:rPr>
          <w:sz w:val="22"/>
          <w:szCs w:val="22"/>
          <w:lang w:eastAsia="it-IT"/>
        </w:rPr>
        <w:t xml:space="preserve">raggiunge 37,7 milioni di browser unici medi mensili (+10,6% rispetto al pari periodo 2014), mentre </w:t>
      </w:r>
      <w:r w:rsidRPr="00D81F9E">
        <w:rPr>
          <w:i/>
          <w:iCs/>
          <w:sz w:val="22"/>
          <w:szCs w:val="22"/>
          <w:lang w:eastAsia="it-IT"/>
        </w:rPr>
        <w:t xml:space="preserve">expansion.com </w:t>
      </w:r>
      <w:r w:rsidRPr="00D81F9E">
        <w:rPr>
          <w:sz w:val="22"/>
          <w:szCs w:val="22"/>
          <w:lang w:eastAsia="it-IT"/>
        </w:rPr>
        <w:t>registra un incremento del 34,5% rispetto al 31 marzo 2014, toccando la media di 8 milioni di browser unici mensili.</w:t>
      </w:r>
    </w:p>
    <w:p w:rsidR="00D81F9E" w:rsidRPr="00D81F9E" w:rsidRDefault="00D81F9E" w:rsidP="00D81F9E">
      <w:pPr>
        <w:jc w:val="both"/>
        <w:rPr>
          <w:sz w:val="22"/>
          <w:szCs w:val="22"/>
          <w:lang w:eastAsia="it-IT"/>
        </w:rPr>
      </w:pPr>
      <w:r w:rsidRPr="00D81F9E">
        <w:rPr>
          <w:sz w:val="22"/>
          <w:szCs w:val="22"/>
          <w:lang w:eastAsia="it-IT"/>
        </w:rPr>
        <w:t xml:space="preserve">Con </w:t>
      </w:r>
      <w:r w:rsidRPr="00D81F9E">
        <w:rPr>
          <w:b/>
          <w:bCs/>
          <w:sz w:val="22"/>
          <w:szCs w:val="22"/>
          <w:lang w:eastAsia="it-IT"/>
        </w:rPr>
        <w:t>ORBYT</w:t>
      </w:r>
      <w:r w:rsidRPr="00D81F9E">
        <w:rPr>
          <w:sz w:val="22"/>
          <w:szCs w:val="22"/>
          <w:lang w:eastAsia="it-IT"/>
        </w:rPr>
        <w:t xml:space="preserve">, Unidad Editorial si attesta a marzo alla quota di 85 mila abbonati e dal lancio sono state scaricate circa 137 mila applicazioni per </w:t>
      </w:r>
      <w:proofErr w:type="spellStart"/>
      <w:r w:rsidRPr="00D81F9E">
        <w:rPr>
          <w:sz w:val="22"/>
          <w:szCs w:val="22"/>
          <w:lang w:eastAsia="it-IT"/>
        </w:rPr>
        <w:t>iPhone</w:t>
      </w:r>
      <w:proofErr w:type="spellEnd"/>
      <w:r w:rsidRPr="00D81F9E">
        <w:rPr>
          <w:sz w:val="22"/>
          <w:szCs w:val="22"/>
          <w:lang w:eastAsia="it-IT"/>
        </w:rPr>
        <w:t xml:space="preserve"> e circa 278 mila applicazioni per </w:t>
      </w:r>
      <w:proofErr w:type="spellStart"/>
      <w:r w:rsidRPr="00D81F9E">
        <w:rPr>
          <w:sz w:val="22"/>
          <w:szCs w:val="22"/>
          <w:lang w:eastAsia="it-IT"/>
        </w:rPr>
        <w:t>iPad</w:t>
      </w:r>
      <w:proofErr w:type="spellEnd"/>
      <w:r w:rsidRPr="00D81F9E">
        <w:rPr>
          <w:sz w:val="22"/>
          <w:szCs w:val="22"/>
          <w:lang w:eastAsia="it-IT"/>
        </w:rPr>
        <w:t xml:space="preserve">. </w:t>
      </w:r>
    </w:p>
    <w:p w:rsidR="00D81F9E" w:rsidRPr="00D81F9E" w:rsidRDefault="00D81F9E" w:rsidP="00D81F9E">
      <w:pPr>
        <w:widowControl/>
        <w:suppressAutoHyphens w:val="0"/>
        <w:jc w:val="both"/>
        <w:rPr>
          <w:sz w:val="22"/>
          <w:szCs w:val="22"/>
          <w:lang w:eastAsia="it-IT"/>
        </w:rPr>
      </w:pPr>
    </w:p>
    <w:p w:rsidR="00D81F9E" w:rsidRPr="00D81F9E" w:rsidRDefault="00D81F9E" w:rsidP="00D81F9E">
      <w:pPr>
        <w:jc w:val="both"/>
        <w:rPr>
          <w:sz w:val="22"/>
          <w:szCs w:val="22"/>
          <w:lang w:eastAsia="it-IT"/>
        </w:rPr>
      </w:pPr>
      <w:r w:rsidRPr="00D81F9E">
        <w:rPr>
          <w:sz w:val="22"/>
          <w:szCs w:val="22"/>
          <w:lang w:eastAsia="it-IT"/>
        </w:rPr>
        <w:t xml:space="preserve">I </w:t>
      </w:r>
      <w:r w:rsidRPr="00D81F9E">
        <w:rPr>
          <w:b/>
          <w:bCs/>
          <w:sz w:val="22"/>
          <w:szCs w:val="22"/>
          <w:lang w:eastAsia="it-IT"/>
        </w:rPr>
        <w:t xml:space="preserve">ricavi </w:t>
      </w:r>
      <w:r w:rsidRPr="00D81F9E">
        <w:rPr>
          <w:sz w:val="22"/>
          <w:szCs w:val="22"/>
          <w:lang w:eastAsia="it-IT"/>
        </w:rPr>
        <w:t>dell’</w:t>
      </w:r>
      <w:r w:rsidRPr="00D81F9E">
        <w:rPr>
          <w:b/>
          <w:bCs/>
          <w:sz w:val="22"/>
          <w:szCs w:val="22"/>
          <w:lang w:eastAsia="it-IT"/>
        </w:rPr>
        <w:t xml:space="preserve">area Libri </w:t>
      </w:r>
      <w:r w:rsidRPr="00D81F9E">
        <w:rPr>
          <w:sz w:val="22"/>
          <w:szCs w:val="22"/>
          <w:lang w:eastAsia="it-IT"/>
        </w:rPr>
        <w:t xml:space="preserve">si attestano a 28,9 milioni di Euro, </w:t>
      </w:r>
      <w:r w:rsidRPr="00D26308">
        <w:rPr>
          <w:b/>
          <w:sz w:val="22"/>
          <w:szCs w:val="22"/>
          <w:lang w:eastAsia="it-IT"/>
        </w:rPr>
        <w:t xml:space="preserve">in crescita </w:t>
      </w:r>
      <w:r w:rsidR="000C03D3">
        <w:rPr>
          <w:b/>
          <w:sz w:val="22"/>
          <w:szCs w:val="22"/>
          <w:lang w:eastAsia="it-IT"/>
        </w:rPr>
        <w:t>di circa</w:t>
      </w:r>
      <w:r w:rsidR="000C03D3" w:rsidRPr="00D26308">
        <w:rPr>
          <w:b/>
          <w:sz w:val="22"/>
          <w:szCs w:val="22"/>
          <w:lang w:eastAsia="it-IT"/>
        </w:rPr>
        <w:t xml:space="preserve"> il 10%</w:t>
      </w:r>
      <w:r w:rsidR="000C03D3">
        <w:rPr>
          <w:sz w:val="22"/>
          <w:szCs w:val="22"/>
          <w:lang w:eastAsia="it-IT"/>
        </w:rPr>
        <w:t xml:space="preserve"> r</w:t>
      </w:r>
      <w:r w:rsidRPr="00D81F9E">
        <w:rPr>
          <w:sz w:val="22"/>
          <w:szCs w:val="22"/>
          <w:lang w:eastAsia="it-IT"/>
        </w:rPr>
        <w:t xml:space="preserve">ispetto </w:t>
      </w:r>
      <w:r w:rsidR="000C03D3">
        <w:rPr>
          <w:sz w:val="22"/>
          <w:szCs w:val="22"/>
          <w:lang w:eastAsia="it-IT"/>
        </w:rPr>
        <w:t>al pari</w:t>
      </w:r>
      <w:r w:rsidRPr="00D81F9E">
        <w:rPr>
          <w:sz w:val="22"/>
          <w:szCs w:val="22"/>
          <w:lang w:eastAsia="it-IT"/>
        </w:rPr>
        <w:t xml:space="preserve"> periodo del 2014. L’andamento dei ricavi della </w:t>
      </w:r>
      <w:r w:rsidRPr="00D26308">
        <w:rPr>
          <w:b/>
          <w:sz w:val="22"/>
          <w:szCs w:val="22"/>
          <w:lang w:eastAsia="it-IT"/>
        </w:rPr>
        <w:t>Varia Italia evidenzia un incremento del 9,3%</w:t>
      </w:r>
      <w:r w:rsidRPr="00D81F9E">
        <w:rPr>
          <w:sz w:val="22"/>
          <w:szCs w:val="22"/>
          <w:lang w:eastAsia="it-IT"/>
        </w:rPr>
        <w:t xml:space="preserve"> rispetto al primo trimestre 2014, con ricavi editoriali delle case editrici complessivamente stabili ed una </w:t>
      </w:r>
      <w:r w:rsidRPr="00D26308">
        <w:rPr>
          <w:b/>
          <w:sz w:val="22"/>
          <w:szCs w:val="22"/>
          <w:lang w:eastAsia="it-IT"/>
        </w:rPr>
        <w:t>crescita complessiva a doppia cifra per i ricavi digitali</w:t>
      </w:r>
      <w:r w:rsidRPr="00D81F9E">
        <w:rPr>
          <w:sz w:val="22"/>
          <w:szCs w:val="22"/>
          <w:lang w:eastAsia="it-IT"/>
        </w:rPr>
        <w:t>, i ricavi da cessione diritti, i ricavi da no book ed i ricavi editoriali delle case editrici terze e delle collegate.</w:t>
      </w:r>
      <w:r w:rsidR="00E5108E">
        <w:rPr>
          <w:sz w:val="22"/>
          <w:szCs w:val="22"/>
          <w:lang w:eastAsia="it-IT"/>
        </w:rPr>
        <w:t xml:space="preserve"> </w:t>
      </w:r>
      <w:r w:rsidR="00E5108E" w:rsidRPr="00D81F9E">
        <w:rPr>
          <w:sz w:val="22"/>
          <w:szCs w:val="22"/>
          <w:lang w:eastAsia="it-IT"/>
        </w:rPr>
        <w:t>L’</w:t>
      </w:r>
      <w:r w:rsidR="00E5108E" w:rsidRPr="00D26308">
        <w:rPr>
          <w:b/>
          <w:sz w:val="22"/>
          <w:szCs w:val="22"/>
          <w:lang w:eastAsia="it-IT"/>
        </w:rPr>
        <w:t>EBITDA</w:t>
      </w:r>
      <w:r w:rsidR="00E5108E" w:rsidRPr="00D81F9E">
        <w:rPr>
          <w:sz w:val="22"/>
          <w:szCs w:val="22"/>
          <w:lang w:eastAsia="it-IT"/>
        </w:rPr>
        <w:t xml:space="preserve"> del periodo risulta negativo per 6,9 milioni, in miglioramento di 1,8 milioni rispetto allo stesso periodo 2014.</w:t>
      </w:r>
    </w:p>
    <w:p w:rsidR="00D81F9E" w:rsidRPr="00D81F9E" w:rsidRDefault="00D81F9E" w:rsidP="00D81F9E">
      <w:pPr>
        <w:jc w:val="both"/>
        <w:rPr>
          <w:sz w:val="22"/>
          <w:szCs w:val="22"/>
          <w:lang w:eastAsia="it-IT"/>
        </w:rPr>
      </w:pPr>
      <w:r w:rsidRPr="00D81F9E">
        <w:rPr>
          <w:sz w:val="22"/>
          <w:szCs w:val="22"/>
          <w:lang w:eastAsia="it-IT"/>
        </w:rPr>
        <w:t>Nei primi mesi del 2015</w:t>
      </w:r>
      <w:r w:rsidR="00203EC2">
        <w:rPr>
          <w:sz w:val="22"/>
          <w:szCs w:val="22"/>
          <w:lang w:eastAsia="it-IT"/>
        </w:rPr>
        <w:t>, in particolare,</w:t>
      </w:r>
      <w:r w:rsidRPr="00D81F9E">
        <w:rPr>
          <w:sz w:val="22"/>
          <w:szCs w:val="22"/>
          <w:lang w:eastAsia="it-IT"/>
        </w:rPr>
        <w:t xml:space="preserve"> i </w:t>
      </w:r>
      <w:r w:rsidRPr="00D81F9E">
        <w:rPr>
          <w:i/>
          <w:iCs/>
          <w:sz w:val="22"/>
          <w:szCs w:val="22"/>
          <w:lang w:eastAsia="it-IT"/>
        </w:rPr>
        <w:t>sell out</w:t>
      </w:r>
      <w:r w:rsidRPr="00D81F9E">
        <w:rPr>
          <w:sz w:val="22"/>
          <w:szCs w:val="22"/>
          <w:lang w:eastAsia="it-IT"/>
        </w:rPr>
        <w:t xml:space="preserve"> di </w:t>
      </w:r>
      <w:r w:rsidRPr="00D81F9E">
        <w:rPr>
          <w:b/>
          <w:bCs/>
          <w:sz w:val="22"/>
          <w:szCs w:val="22"/>
          <w:lang w:eastAsia="it-IT"/>
        </w:rPr>
        <w:t>Bompiani</w:t>
      </w:r>
      <w:r w:rsidRPr="00D81F9E">
        <w:rPr>
          <w:sz w:val="22"/>
          <w:szCs w:val="22"/>
          <w:lang w:eastAsia="it-IT"/>
        </w:rPr>
        <w:t xml:space="preserve"> e di </w:t>
      </w:r>
      <w:r w:rsidRPr="00D81F9E">
        <w:rPr>
          <w:b/>
          <w:bCs/>
          <w:sz w:val="22"/>
          <w:szCs w:val="22"/>
          <w:lang w:eastAsia="it-IT"/>
        </w:rPr>
        <w:t>BUR</w:t>
      </w:r>
      <w:r w:rsidRPr="00D81F9E">
        <w:rPr>
          <w:sz w:val="22"/>
          <w:szCs w:val="22"/>
          <w:lang w:eastAsia="it-IT"/>
        </w:rPr>
        <w:t xml:space="preserve"> registrano</w:t>
      </w:r>
      <w:r w:rsidRPr="00D81F9E">
        <w:rPr>
          <w:b/>
          <w:bCs/>
          <w:sz w:val="22"/>
          <w:szCs w:val="22"/>
          <w:lang w:eastAsia="it-IT"/>
        </w:rPr>
        <w:t xml:space="preserve"> </w:t>
      </w:r>
      <w:r w:rsidRPr="00D81F9E">
        <w:rPr>
          <w:sz w:val="22"/>
          <w:szCs w:val="22"/>
          <w:lang w:eastAsia="it-IT"/>
        </w:rPr>
        <w:t>significative crescite a valore, rispettivamente pari a +26,7% e +13,5</w:t>
      </w:r>
      <w:r w:rsidR="00DF0327">
        <w:rPr>
          <w:sz w:val="22"/>
          <w:szCs w:val="22"/>
          <w:lang w:eastAsia="it-IT"/>
        </w:rPr>
        <w:t>%, grazie ai lanci di titoli di grande successo</w:t>
      </w:r>
      <w:r w:rsidRPr="00D81F9E">
        <w:rPr>
          <w:sz w:val="22"/>
          <w:szCs w:val="22"/>
          <w:lang w:eastAsia="it-IT"/>
        </w:rPr>
        <w:t>.</w:t>
      </w:r>
    </w:p>
    <w:p w:rsidR="00D81F9E" w:rsidRPr="00D81F9E" w:rsidRDefault="00D81F9E" w:rsidP="00730A5C">
      <w:pPr>
        <w:jc w:val="both"/>
        <w:rPr>
          <w:sz w:val="22"/>
          <w:szCs w:val="22"/>
          <w:lang w:eastAsia="it-IT"/>
        </w:rPr>
      </w:pPr>
      <w:r w:rsidRPr="00D81F9E">
        <w:rPr>
          <w:sz w:val="22"/>
          <w:szCs w:val="22"/>
          <w:lang w:eastAsia="it-IT"/>
        </w:rPr>
        <w:t>I</w:t>
      </w:r>
      <w:r w:rsidRPr="00D81F9E">
        <w:rPr>
          <w:b/>
          <w:bCs/>
          <w:sz w:val="22"/>
          <w:szCs w:val="22"/>
          <w:lang w:eastAsia="it-IT"/>
        </w:rPr>
        <w:t xml:space="preserve"> </w:t>
      </w:r>
      <w:r w:rsidRPr="00D81F9E">
        <w:rPr>
          <w:sz w:val="22"/>
          <w:szCs w:val="22"/>
          <w:lang w:eastAsia="it-IT"/>
        </w:rPr>
        <w:t>ricavi consolidati di</w:t>
      </w:r>
      <w:r w:rsidRPr="00D81F9E">
        <w:rPr>
          <w:b/>
          <w:bCs/>
          <w:sz w:val="22"/>
          <w:szCs w:val="22"/>
          <w:lang w:eastAsia="it-IT"/>
        </w:rPr>
        <w:t xml:space="preserve"> Rizzoli International Publications </w:t>
      </w:r>
      <w:r w:rsidRPr="00D81F9E">
        <w:rPr>
          <w:sz w:val="22"/>
          <w:szCs w:val="22"/>
          <w:lang w:eastAsia="it-IT"/>
        </w:rPr>
        <w:t>sono in crescita di 0,9 milioni, una cifra dovuta all’apprezzamento del dollaro rispetto all’euro e all’incremento delle vendite solo in parte compensati dai minori ricavi originati dalla temporanea chiusura della storica libreria Rizzoli a NYC, la cui riapertura è prevista entro l</w:t>
      </w:r>
      <w:r w:rsidR="00780D30">
        <w:rPr>
          <w:sz w:val="22"/>
          <w:szCs w:val="22"/>
          <w:lang w:eastAsia="it-IT"/>
        </w:rPr>
        <w:t xml:space="preserve">’estate </w:t>
      </w:r>
      <w:r w:rsidRPr="00D81F9E">
        <w:rPr>
          <w:sz w:val="22"/>
          <w:szCs w:val="22"/>
          <w:lang w:eastAsia="it-IT"/>
        </w:rPr>
        <w:t>2015 nella nuova location.</w:t>
      </w:r>
    </w:p>
    <w:p w:rsidR="00D81F9E" w:rsidRPr="00D81F9E" w:rsidRDefault="00D81F9E" w:rsidP="00730A5C">
      <w:pPr>
        <w:jc w:val="both"/>
        <w:rPr>
          <w:sz w:val="22"/>
          <w:szCs w:val="22"/>
          <w:lang w:eastAsia="en-GB"/>
        </w:rPr>
      </w:pPr>
      <w:r w:rsidRPr="00D81F9E">
        <w:rPr>
          <w:sz w:val="22"/>
          <w:szCs w:val="22"/>
          <w:lang w:eastAsia="en-GB"/>
        </w:rPr>
        <w:t xml:space="preserve">Bompiani ha conquistato nei mesi di gennaio e febbraio i vertici delle classifiche, e mantenuto anche a marzo la </w:t>
      </w:r>
      <w:r w:rsidRPr="00D81F9E">
        <w:rPr>
          <w:sz w:val="22"/>
          <w:szCs w:val="22"/>
          <w:lang w:eastAsia="en-GB"/>
        </w:rPr>
        <w:lastRenderedPageBreak/>
        <w:t xml:space="preserve">presenza delle top </w:t>
      </w:r>
      <w:proofErr w:type="spellStart"/>
      <w:r w:rsidRPr="00D81F9E">
        <w:rPr>
          <w:sz w:val="22"/>
          <w:szCs w:val="22"/>
          <w:lang w:eastAsia="en-GB"/>
        </w:rPr>
        <w:t>ten</w:t>
      </w:r>
      <w:proofErr w:type="spellEnd"/>
      <w:r w:rsidRPr="00D81F9E">
        <w:rPr>
          <w:sz w:val="22"/>
          <w:szCs w:val="22"/>
          <w:lang w:eastAsia="en-GB"/>
        </w:rPr>
        <w:t xml:space="preserve">, con due novità di successo quali l’ultimo libro di Umberto Eco </w:t>
      </w:r>
      <w:r w:rsidRPr="00D81F9E">
        <w:rPr>
          <w:i/>
          <w:iCs/>
          <w:sz w:val="22"/>
          <w:szCs w:val="22"/>
          <w:lang w:eastAsia="en-GB"/>
        </w:rPr>
        <w:t>Numero zero</w:t>
      </w:r>
      <w:r w:rsidRPr="00D81F9E">
        <w:rPr>
          <w:sz w:val="22"/>
          <w:szCs w:val="22"/>
          <w:lang w:eastAsia="en-GB"/>
        </w:rPr>
        <w:t xml:space="preserve"> e </w:t>
      </w:r>
      <w:r w:rsidRPr="00D81F9E">
        <w:rPr>
          <w:i/>
          <w:iCs/>
          <w:sz w:val="22"/>
          <w:szCs w:val="22"/>
          <w:lang w:eastAsia="en-GB"/>
        </w:rPr>
        <w:t>Sottomissione</w:t>
      </w:r>
      <w:r w:rsidRPr="00D81F9E">
        <w:rPr>
          <w:sz w:val="22"/>
          <w:szCs w:val="22"/>
          <w:lang w:eastAsia="en-GB"/>
        </w:rPr>
        <w:t xml:space="preserve"> di Michel </w:t>
      </w:r>
      <w:proofErr w:type="spellStart"/>
      <w:r w:rsidRPr="00D81F9E">
        <w:rPr>
          <w:sz w:val="22"/>
          <w:szCs w:val="22"/>
          <w:lang w:eastAsia="en-GB"/>
        </w:rPr>
        <w:t>Houllebecq</w:t>
      </w:r>
      <w:proofErr w:type="spellEnd"/>
      <w:r w:rsidRPr="00D81F9E">
        <w:rPr>
          <w:sz w:val="22"/>
          <w:szCs w:val="22"/>
          <w:lang w:eastAsia="en-GB"/>
        </w:rPr>
        <w:t xml:space="preserve">; ottimi riscontri anche per </w:t>
      </w:r>
      <w:r w:rsidRPr="00D81F9E">
        <w:rPr>
          <w:i/>
          <w:iCs/>
          <w:sz w:val="22"/>
          <w:szCs w:val="22"/>
          <w:lang w:eastAsia="en-GB"/>
        </w:rPr>
        <w:t>Il miniaturista</w:t>
      </w:r>
      <w:r w:rsidRPr="00D81F9E">
        <w:rPr>
          <w:sz w:val="22"/>
          <w:szCs w:val="22"/>
          <w:lang w:eastAsia="en-GB"/>
        </w:rPr>
        <w:t xml:space="preserve"> di Jessie Burton. Nelle prime settimane del 2015 Rizzoli ha continuato a mantenersi </w:t>
      </w:r>
      <w:r w:rsidR="00344E3A" w:rsidRPr="00D81F9E">
        <w:rPr>
          <w:sz w:val="22"/>
          <w:szCs w:val="22"/>
          <w:lang w:eastAsia="en-GB"/>
        </w:rPr>
        <w:t>nell</w:t>
      </w:r>
      <w:r w:rsidR="00344E3A">
        <w:rPr>
          <w:sz w:val="22"/>
          <w:szCs w:val="22"/>
          <w:lang w:eastAsia="en-GB"/>
        </w:rPr>
        <w:t>e</w:t>
      </w:r>
      <w:r w:rsidR="00344E3A" w:rsidRPr="00D81F9E">
        <w:rPr>
          <w:sz w:val="22"/>
          <w:szCs w:val="22"/>
          <w:lang w:eastAsia="en-GB"/>
        </w:rPr>
        <w:t xml:space="preserve"> </w:t>
      </w:r>
      <w:r w:rsidRPr="00D81F9E">
        <w:rPr>
          <w:sz w:val="22"/>
          <w:szCs w:val="22"/>
          <w:lang w:eastAsia="en-GB"/>
        </w:rPr>
        <w:t xml:space="preserve">top </w:t>
      </w:r>
      <w:proofErr w:type="spellStart"/>
      <w:r w:rsidRPr="00D81F9E">
        <w:rPr>
          <w:sz w:val="22"/>
          <w:szCs w:val="22"/>
          <w:lang w:eastAsia="en-GB"/>
        </w:rPr>
        <w:t>ten</w:t>
      </w:r>
      <w:proofErr w:type="spellEnd"/>
      <w:r w:rsidRPr="00D81F9E">
        <w:rPr>
          <w:sz w:val="22"/>
          <w:szCs w:val="22"/>
          <w:lang w:eastAsia="en-GB"/>
        </w:rPr>
        <w:t xml:space="preserve"> delle classifiche</w:t>
      </w:r>
      <w:r w:rsidR="00344E3A">
        <w:rPr>
          <w:sz w:val="22"/>
          <w:szCs w:val="22"/>
          <w:lang w:eastAsia="en-GB"/>
        </w:rPr>
        <w:t xml:space="preserve"> anche</w:t>
      </w:r>
      <w:r w:rsidRPr="00D81F9E">
        <w:rPr>
          <w:sz w:val="22"/>
          <w:szCs w:val="22"/>
          <w:lang w:eastAsia="en-GB"/>
        </w:rPr>
        <w:t xml:space="preserve"> per effetto della tenuta di titoli di successo come </w:t>
      </w:r>
      <w:r w:rsidRPr="00D81F9E">
        <w:rPr>
          <w:i/>
          <w:iCs/>
          <w:sz w:val="22"/>
          <w:szCs w:val="22"/>
          <w:lang w:eastAsia="en-GB"/>
        </w:rPr>
        <w:t>Colpa delle stelle</w:t>
      </w:r>
      <w:r w:rsidRPr="00D81F9E">
        <w:rPr>
          <w:sz w:val="22"/>
          <w:szCs w:val="22"/>
          <w:lang w:eastAsia="en-GB"/>
        </w:rPr>
        <w:t xml:space="preserve"> di John Green e </w:t>
      </w:r>
      <w:r w:rsidRPr="00D81F9E">
        <w:rPr>
          <w:i/>
          <w:iCs/>
          <w:sz w:val="22"/>
          <w:szCs w:val="22"/>
          <w:lang w:eastAsia="en-GB"/>
        </w:rPr>
        <w:t>I tre giorni di Pompei</w:t>
      </w:r>
      <w:r w:rsidRPr="00D81F9E">
        <w:rPr>
          <w:sz w:val="22"/>
          <w:szCs w:val="22"/>
          <w:lang w:eastAsia="en-GB"/>
        </w:rPr>
        <w:t xml:space="preserve"> di Alberto Angela.</w:t>
      </w:r>
    </w:p>
    <w:p w:rsidR="00D81F9E" w:rsidRPr="00D81F9E" w:rsidRDefault="00D81F9E" w:rsidP="00730A5C">
      <w:pPr>
        <w:jc w:val="both"/>
        <w:rPr>
          <w:sz w:val="22"/>
          <w:szCs w:val="22"/>
          <w:lang w:eastAsia="it-IT"/>
        </w:rPr>
      </w:pPr>
      <w:r w:rsidRPr="00D81F9E">
        <w:rPr>
          <w:sz w:val="22"/>
          <w:szCs w:val="22"/>
          <w:lang w:eastAsia="it-IT"/>
        </w:rPr>
        <w:t>Per quanto concerne l’e-book, i ricavi del primo trimestre sono sostanzialmente in linea col mercato: il venduto a valore degli e-book costituisce circa il 5% del totale dei ricavi di Libri Varia (carta e e-book).</w:t>
      </w:r>
    </w:p>
    <w:p w:rsidR="00D81F9E" w:rsidRPr="00D81F9E" w:rsidRDefault="00D81F9E" w:rsidP="00730A5C">
      <w:pPr>
        <w:jc w:val="both"/>
        <w:rPr>
          <w:sz w:val="22"/>
          <w:szCs w:val="22"/>
        </w:rPr>
      </w:pPr>
      <w:r w:rsidRPr="00D81F9E">
        <w:rPr>
          <w:sz w:val="22"/>
          <w:szCs w:val="22"/>
        </w:rPr>
        <w:t xml:space="preserve">Il settore </w:t>
      </w:r>
      <w:proofErr w:type="spellStart"/>
      <w:r w:rsidRPr="00D81F9E">
        <w:rPr>
          <w:b/>
          <w:bCs/>
          <w:sz w:val="22"/>
          <w:szCs w:val="22"/>
        </w:rPr>
        <w:t>Education</w:t>
      </w:r>
      <w:proofErr w:type="spellEnd"/>
      <w:r w:rsidRPr="00D81F9E">
        <w:rPr>
          <w:sz w:val="22"/>
          <w:szCs w:val="22"/>
        </w:rPr>
        <w:t xml:space="preserve"> è caratterizzato dall’elevata stagionalità, con una forte concentrazione nell’ultimo quadrimestre dell’anno: l’andamento dei ricavi e il risultato di fine marzo non sono quindi particolarmente significativi in termini di esercizio, ma </w:t>
      </w:r>
      <w:r w:rsidR="00C63CE9">
        <w:rPr>
          <w:sz w:val="22"/>
          <w:szCs w:val="22"/>
        </w:rPr>
        <w:t xml:space="preserve">i ricavi a perimetro omogeneo </w:t>
      </w:r>
      <w:r w:rsidRPr="00D81F9E">
        <w:rPr>
          <w:sz w:val="22"/>
          <w:szCs w:val="22"/>
        </w:rPr>
        <w:t xml:space="preserve">registrano comunque un </w:t>
      </w:r>
      <w:r w:rsidRPr="00D26308">
        <w:rPr>
          <w:b/>
          <w:sz w:val="22"/>
          <w:szCs w:val="22"/>
        </w:rPr>
        <w:t>miglioramento pari all’8,6%</w:t>
      </w:r>
      <w:r w:rsidRPr="00D81F9E">
        <w:rPr>
          <w:sz w:val="22"/>
          <w:szCs w:val="22"/>
        </w:rPr>
        <w:t xml:space="preserve"> rispetto al pari periodo 2014. </w:t>
      </w:r>
    </w:p>
    <w:p w:rsidR="00D81F9E" w:rsidRPr="00D81F9E" w:rsidRDefault="00D81F9E" w:rsidP="00730A5C">
      <w:pPr>
        <w:jc w:val="both"/>
        <w:rPr>
          <w:rFonts w:ascii="Calibri" w:hAnsi="Calibri"/>
          <w:sz w:val="22"/>
          <w:szCs w:val="22"/>
        </w:rPr>
      </w:pPr>
      <w:r w:rsidRPr="00D81F9E">
        <w:rPr>
          <w:b/>
          <w:bCs/>
          <w:sz w:val="22"/>
          <w:szCs w:val="22"/>
          <w:lang w:eastAsia="it-IT"/>
        </w:rPr>
        <w:t>RCS Libri conferma la propria posizione di secondo operatore di mercato</w:t>
      </w:r>
      <w:r w:rsidR="00D67292">
        <w:rPr>
          <w:b/>
          <w:bCs/>
          <w:sz w:val="22"/>
          <w:szCs w:val="22"/>
          <w:lang w:eastAsia="it-IT"/>
        </w:rPr>
        <w:t xml:space="preserve"> nel settore Varia</w:t>
      </w:r>
      <w:r w:rsidRPr="00730A5C">
        <w:rPr>
          <w:b/>
          <w:sz w:val="22"/>
          <w:szCs w:val="22"/>
          <w:lang w:eastAsia="it-IT"/>
        </w:rPr>
        <w:t xml:space="preserve">, </w:t>
      </w:r>
      <w:r w:rsidRPr="00D26308">
        <w:rPr>
          <w:sz w:val="22"/>
          <w:szCs w:val="22"/>
          <w:lang w:eastAsia="it-IT"/>
        </w:rPr>
        <w:t>raggiungendo</w:t>
      </w:r>
      <w:r w:rsidRPr="00D26308">
        <w:rPr>
          <w:bCs/>
          <w:sz w:val="22"/>
          <w:szCs w:val="22"/>
          <w:lang w:eastAsia="it-IT"/>
        </w:rPr>
        <w:t xml:space="preserve"> </w:t>
      </w:r>
      <w:r w:rsidRPr="00D26308">
        <w:rPr>
          <w:sz w:val="22"/>
          <w:szCs w:val="22"/>
        </w:rPr>
        <w:t xml:space="preserve">una </w:t>
      </w:r>
      <w:r w:rsidRPr="00730A5C">
        <w:rPr>
          <w:b/>
          <w:sz w:val="22"/>
          <w:szCs w:val="22"/>
        </w:rPr>
        <w:t>quota del 12,4% a valore e dell’11,5% in copie</w:t>
      </w:r>
      <w:r w:rsidRPr="00D81F9E">
        <w:rPr>
          <w:b/>
          <w:bCs/>
          <w:sz w:val="22"/>
          <w:szCs w:val="22"/>
          <w:lang w:eastAsia="it-IT"/>
        </w:rPr>
        <w:t xml:space="preserve">. </w:t>
      </w:r>
      <w:r w:rsidRPr="00D81F9E">
        <w:rPr>
          <w:sz w:val="22"/>
          <w:szCs w:val="22"/>
        </w:rPr>
        <w:t xml:space="preserve">Tra i grandi gruppi editoriali, </w:t>
      </w:r>
      <w:r w:rsidRPr="00730A5C">
        <w:rPr>
          <w:b/>
          <w:sz w:val="22"/>
          <w:szCs w:val="22"/>
        </w:rPr>
        <w:t>il Gruppo RCS, in presenza di un mercato in flessione rispetto al primo trimestre dello scorso anno, vede ulteriormente aumentare la propria quota di mercato a valore</w:t>
      </w:r>
      <w:r w:rsidRPr="00D81F9E">
        <w:rPr>
          <w:sz w:val="22"/>
          <w:szCs w:val="22"/>
        </w:rPr>
        <w:t xml:space="preserve">, con un incremento di 0,6 punti. </w:t>
      </w:r>
    </w:p>
    <w:p w:rsidR="00CA4653" w:rsidRDefault="00CA4653" w:rsidP="00730A5C">
      <w:pPr>
        <w:widowControl/>
        <w:suppressAutoHyphens w:val="0"/>
        <w:jc w:val="both"/>
        <w:rPr>
          <w:sz w:val="22"/>
          <w:szCs w:val="22"/>
          <w:lang w:eastAsia="it-IT"/>
        </w:rPr>
      </w:pPr>
    </w:p>
    <w:p w:rsidR="00BC1461" w:rsidRDefault="00BC1461" w:rsidP="00CA4653">
      <w:pPr>
        <w:widowControl/>
        <w:suppressAutoHyphens w:val="0"/>
        <w:jc w:val="both"/>
        <w:rPr>
          <w:sz w:val="22"/>
          <w:szCs w:val="22"/>
          <w:lang w:eastAsia="it-IT"/>
        </w:rPr>
      </w:pPr>
    </w:p>
    <w:p w:rsidR="00BC1461" w:rsidRDefault="00BC1461" w:rsidP="00CA4653">
      <w:pPr>
        <w:widowControl/>
        <w:suppressAutoHyphens w:val="0"/>
        <w:jc w:val="both"/>
        <w:rPr>
          <w:sz w:val="22"/>
          <w:szCs w:val="22"/>
          <w:lang w:eastAsia="it-IT"/>
        </w:rPr>
      </w:pPr>
    </w:p>
    <w:p w:rsidR="00CD1A8F" w:rsidRDefault="00CA4653" w:rsidP="00CA4653">
      <w:pPr>
        <w:widowControl/>
        <w:suppressAutoHyphens w:val="0"/>
        <w:jc w:val="both"/>
        <w:rPr>
          <w:b/>
          <w:bCs/>
          <w:sz w:val="22"/>
          <w:szCs w:val="22"/>
          <w:lang w:eastAsia="it-IT"/>
        </w:rPr>
      </w:pPr>
      <w:r>
        <w:rPr>
          <w:b/>
          <w:bCs/>
          <w:sz w:val="22"/>
          <w:szCs w:val="22"/>
          <w:lang w:eastAsia="it-IT"/>
        </w:rPr>
        <w:t>E</w:t>
      </w:r>
      <w:r w:rsidR="00CD1A8F" w:rsidRPr="00C274AA">
        <w:rPr>
          <w:b/>
          <w:bCs/>
          <w:sz w:val="22"/>
          <w:szCs w:val="22"/>
          <w:lang w:eastAsia="it-IT"/>
        </w:rPr>
        <w:t>voluzione prevedibile della gestione</w:t>
      </w:r>
    </w:p>
    <w:p w:rsidR="00D81F9E" w:rsidRDefault="00D81F9E" w:rsidP="00CA4653">
      <w:pPr>
        <w:widowControl/>
        <w:suppressAutoHyphens w:val="0"/>
        <w:jc w:val="both"/>
        <w:rPr>
          <w:sz w:val="22"/>
          <w:szCs w:val="22"/>
          <w:lang w:eastAsia="it-IT"/>
        </w:rPr>
      </w:pPr>
    </w:p>
    <w:p w:rsidR="00D51974" w:rsidRPr="00D51974" w:rsidRDefault="00701296" w:rsidP="00D51974">
      <w:pPr>
        <w:autoSpaceDE w:val="0"/>
        <w:autoSpaceDN w:val="0"/>
        <w:adjustRightInd w:val="0"/>
        <w:jc w:val="both"/>
        <w:rPr>
          <w:sz w:val="22"/>
          <w:szCs w:val="22"/>
        </w:rPr>
      </w:pPr>
      <w:r w:rsidRPr="00D26308">
        <w:rPr>
          <w:sz w:val="22"/>
          <w:szCs w:val="22"/>
        </w:rPr>
        <w:t xml:space="preserve">Nei primi mesi del 2015 si evidenziano modesti segnali positivi </w:t>
      </w:r>
      <w:r w:rsidR="002C7528">
        <w:rPr>
          <w:sz w:val="22"/>
          <w:szCs w:val="22"/>
        </w:rPr>
        <w:t xml:space="preserve">di ripresa </w:t>
      </w:r>
      <w:r w:rsidRPr="00D26308">
        <w:rPr>
          <w:sz w:val="22"/>
          <w:szCs w:val="22"/>
        </w:rPr>
        <w:t>sull’economia italiana, anche se le prospettive sono ancora caratterizzate dall’incertezza. Il PIL italiano è risultato invariato rispetto al primo trimestre 2014 (+0,3% rispetto al trimestre precedente – Fonte Istat). Per l’esercizio 2015 il PIL italiano è previsto in incremento dello 0,7% (Fonte: Istat).</w:t>
      </w:r>
      <w:r>
        <w:rPr>
          <w:sz w:val="22"/>
          <w:szCs w:val="22"/>
        </w:rPr>
        <w:t xml:space="preserve"> </w:t>
      </w:r>
      <w:r w:rsidR="00D51974" w:rsidRPr="00D51974">
        <w:rPr>
          <w:sz w:val="22"/>
          <w:szCs w:val="22"/>
        </w:rPr>
        <w:t xml:space="preserve">In Spagna prosegue la tendenza positiva, evidenziatasi a partire dal primo semestre 2014. Nell’esercizio 2015 il PIL spagnolo è previsto in </w:t>
      </w:r>
      <w:proofErr w:type="gramStart"/>
      <w:r w:rsidR="00D51974" w:rsidRPr="00D51974">
        <w:rPr>
          <w:sz w:val="22"/>
          <w:szCs w:val="22"/>
        </w:rPr>
        <w:t>incremento  del</w:t>
      </w:r>
      <w:proofErr w:type="gramEnd"/>
      <w:r w:rsidR="00D51974" w:rsidRPr="00D51974">
        <w:rPr>
          <w:sz w:val="22"/>
          <w:szCs w:val="22"/>
        </w:rPr>
        <w:t xml:space="preserve"> 2,8% (Fonte: </w:t>
      </w:r>
      <w:proofErr w:type="spellStart"/>
      <w:r w:rsidR="00D51974" w:rsidRPr="00D51974">
        <w:rPr>
          <w:sz w:val="22"/>
          <w:szCs w:val="22"/>
        </w:rPr>
        <w:t>European</w:t>
      </w:r>
      <w:proofErr w:type="spellEnd"/>
      <w:r w:rsidR="00D51974" w:rsidRPr="00D51974">
        <w:rPr>
          <w:sz w:val="22"/>
          <w:szCs w:val="22"/>
        </w:rPr>
        <w:t xml:space="preserve"> </w:t>
      </w:r>
      <w:proofErr w:type="spellStart"/>
      <w:r w:rsidR="00D51974" w:rsidRPr="00D51974">
        <w:rPr>
          <w:sz w:val="22"/>
          <w:szCs w:val="22"/>
        </w:rPr>
        <w:t>Commission</w:t>
      </w:r>
      <w:proofErr w:type="spellEnd"/>
      <w:r w:rsidR="00D51974" w:rsidRPr="00D51974">
        <w:rPr>
          <w:sz w:val="22"/>
          <w:szCs w:val="22"/>
        </w:rPr>
        <w:t>).</w:t>
      </w:r>
      <w:r w:rsidR="00D51974" w:rsidRPr="00D51974" w:rsidDel="00D51859">
        <w:rPr>
          <w:sz w:val="22"/>
          <w:szCs w:val="22"/>
        </w:rPr>
        <w:t xml:space="preserve"> </w:t>
      </w:r>
    </w:p>
    <w:p w:rsidR="00D51974" w:rsidRPr="00D51974" w:rsidRDefault="00D51974" w:rsidP="00D51974">
      <w:pPr>
        <w:autoSpaceDE w:val="0"/>
        <w:autoSpaceDN w:val="0"/>
        <w:adjustRightInd w:val="0"/>
        <w:jc w:val="both"/>
        <w:rPr>
          <w:sz w:val="22"/>
          <w:szCs w:val="22"/>
        </w:rPr>
      </w:pPr>
    </w:p>
    <w:p w:rsidR="00D51974" w:rsidRPr="00D51974" w:rsidRDefault="00D51974" w:rsidP="00D51974">
      <w:pPr>
        <w:autoSpaceDE w:val="0"/>
        <w:autoSpaceDN w:val="0"/>
        <w:adjustRightInd w:val="0"/>
        <w:jc w:val="both"/>
        <w:rPr>
          <w:sz w:val="22"/>
          <w:szCs w:val="22"/>
        </w:rPr>
      </w:pPr>
      <w:r w:rsidRPr="00D51974">
        <w:rPr>
          <w:sz w:val="22"/>
          <w:szCs w:val="22"/>
        </w:rPr>
        <w:t>Per quanto riguarda il settore Media in Italia, e pur tenendo conto degli effetti positivi attesi da</w:t>
      </w:r>
      <w:r>
        <w:rPr>
          <w:sz w:val="22"/>
          <w:szCs w:val="22"/>
        </w:rPr>
        <w:t xml:space="preserve"> </w:t>
      </w:r>
      <w:r w:rsidRPr="00D51974">
        <w:rPr>
          <w:sz w:val="22"/>
          <w:szCs w:val="22"/>
        </w:rPr>
        <w:t>EXPO</w:t>
      </w:r>
      <w:r>
        <w:rPr>
          <w:sz w:val="22"/>
          <w:szCs w:val="22"/>
        </w:rPr>
        <w:t xml:space="preserve"> </w:t>
      </w:r>
      <w:r w:rsidRPr="00D51974">
        <w:rPr>
          <w:sz w:val="22"/>
          <w:szCs w:val="22"/>
        </w:rPr>
        <w:t xml:space="preserve">2015, la raccolta pubblicitaria sulla stampa è prevista ancora in calo, sia pure in termini più contenuti rispetto agli ultimi anni, mentre si attende una lieve crescita del mercato pubblicitario sul mezzo internet; in Spagna invece è prevista una crescita sia della componente pubblicitaria </w:t>
      </w:r>
      <w:r w:rsidRPr="00D51974">
        <w:rPr>
          <w:i/>
          <w:sz w:val="22"/>
          <w:szCs w:val="22"/>
        </w:rPr>
        <w:t>on-line</w:t>
      </w:r>
      <w:r w:rsidRPr="00D51974">
        <w:rPr>
          <w:sz w:val="22"/>
          <w:szCs w:val="22"/>
        </w:rPr>
        <w:t xml:space="preserve"> sia della raccolta pubblicitaria su stampa tradizionale.</w:t>
      </w:r>
    </w:p>
    <w:p w:rsidR="00D51974" w:rsidRPr="00D51974" w:rsidRDefault="00D51974" w:rsidP="00D51974">
      <w:pPr>
        <w:autoSpaceDE w:val="0"/>
        <w:autoSpaceDN w:val="0"/>
        <w:adjustRightInd w:val="0"/>
        <w:jc w:val="both"/>
        <w:rPr>
          <w:sz w:val="22"/>
          <w:szCs w:val="22"/>
        </w:rPr>
      </w:pPr>
    </w:p>
    <w:p w:rsidR="00D51974" w:rsidRPr="00D51974" w:rsidRDefault="00D51974" w:rsidP="00D51974">
      <w:pPr>
        <w:autoSpaceDE w:val="0"/>
        <w:autoSpaceDN w:val="0"/>
        <w:adjustRightInd w:val="0"/>
        <w:jc w:val="both"/>
        <w:rPr>
          <w:sz w:val="22"/>
          <w:szCs w:val="22"/>
        </w:rPr>
      </w:pPr>
      <w:r w:rsidRPr="00D51974">
        <w:rPr>
          <w:sz w:val="22"/>
          <w:szCs w:val="22"/>
        </w:rPr>
        <w:t xml:space="preserve">In tale contesto macroeconomico </w:t>
      </w:r>
      <w:r w:rsidRPr="00D51974">
        <w:rPr>
          <w:b/>
          <w:sz w:val="22"/>
          <w:szCs w:val="22"/>
        </w:rPr>
        <w:t>RCS prevede per l’anno 2015, nel complesso ed a perimetro omogeneo, ricavi consolidati in lieve crescita rispetto al 2014</w:t>
      </w:r>
      <w:r w:rsidRPr="00D51974">
        <w:rPr>
          <w:sz w:val="22"/>
          <w:szCs w:val="22"/>
        </w:rPr>
        <w:t xml:space="preserve">, anche per effetto di iniziative specifiche. Sono previsti inoltre </w:t>
      </w:r>
      <w:r w:rsidRPr="00D51974">
        <w:rPr>
          <w:b/>
          <w:sz w:val="22"/>
          <w:szCs w:val="22"/>
        </w:rPr>
        <w:t>in contenuta crescita i ricavi pubblicitari</w:t>
      </w:r>
      <w:r w:rsidRPr="00D51974">
        <w:rPr>
          <w:sz w:val="22"/>
          <w:szCs w:val="22"/>
        </w:rPr>
        <w:t xml:space="preserve"> per la sopra menzionata ripresa del mercato </w:t>
      </w:r>
      <w:r w:rsidRPr="00D51974">
        <w:rPr>
          <w:b/>
          <w:sz w:val="22"/>
          <w:szCs w:val="22"/>
        </w:rPr>
        <w:t>in Spagna</w:t>
      </w:r>
      <w:r w:rsidRPr="00D51974">
        <w:rPr>
          <w:sz w:val="22"/>
          <w:szCs w:val="22"/>
        </w:rPr>
        <w:t xml:space="preserve">, mentre i ricavi diffusionali pur con volumi in calo potranno essere parzialmente compensati in relazione </w:t>
      </w:r>
      <w:proofErr w:type="gramStart"/>
      <w:r w:rsidRPr="00D51974">
        <w:rPr>
          <w:sz w:val="22"/>
          <w:szCs w:val="22"/>
        </w:rPr>
        <w:t>ai  prezzi</w:t>
      </w:r>
      <w:proofErr w:type="gramEnd"/>
      <w:r w:rsidRPr="00D51974">
        <w:rPr>
          <w:sz w:val="22"/>
          <w:szCs w:val="22"/>
        </w:rPr>
        <w:t xml:space="preserve"> in aumento. I ricavi dell’area Libri sono complessivamente attesi in lieve crescita, principalmente per effetto della componente digitale. </w:t>
      </w:r>
    </w:p>
    <w:p w:rsidR="00D51974" w:rsidRPr="00D51974" w:rsidRDefault="00D51974" w:rsidP="00D51974">
      <w:pPr>
        <w:autoSpaceDE w:val="0"/>
        <w:autoSpaceDN w:val="0"/>
        <w:adjustRightInd w:val="0"/>
        <w:jc w:val="both"/>
        <w:rPr>
          <w:sz w:val="22"/>
          <w:szCs w:val="22"/>
        </w:rPr>
      </w:pPr>
    </w:p>
    <w:p w:rsidR="00D51974" w:rsidRPr="00D51974" w:rsidRDefault="00D51974" w:rsidP="00D51974">
      <w:pPr>
        <w:autoSpaceDE w:val="0"/>
        <w:autoSpaceDN w:val="0"/>
        <w:adjustRightInd w:val="0"/>
        <w:jc w:val="both"/>
        <w:rPr>
          <w:sz w:val="22"/>
          <w:szCs w:val="22"/>
        </w:rPr>
      </w:pPr>
      <w:r w:rsidRPr="00D51974">
        <w:rPr>
          <w:sz w:val="22"/>
          <w:szCs w:val="22"/>
        </w:rPr>
        <w:t xml:space="preserve">In risposta alle dinamiche sfavorevoli dei mercati di riferimento, il Gruppo RCS ha continuato nel corso del 2015 a perseguire con determinazione ulteriori azioni di efficienza. </w:t>
      </w:r>
      <w:r w:rsidRPr="00D51974">
        <w:rPr>
          <w:b/>
          <w:sz w:val="22"/>
          <w:szCs w:val="22"/>
        </w:rPr>
        <w:t>Si prevede di realizzare cumulativamente</w:t>
      </w:r>
      <w:r w:rsidRPr="00D51974">
        <w:rPr>
          <w:sz w:val="22"/>
          <w:szCs w:val="22"/>
        </w:rPr>
        <w:t xml:space="preserve">, al termine dei tre anni del Piano per lo Sviluppo 2013-2015, </w:t>
      </w:r>
      <w:r w:rsidRPr="00D51974">
        <w:rPr>
          <w:b/>
          <w:sz w:val="22"/>
          <w:szCs w:val="22"/>
        </w:rPr>
        <w:t>benefici per</w:t>
      </w:r>
      <w:r>
        <w:rPr>
          <w:sz w:val="22"/>
          <w:szCs w:val="22"/>
        </w:rPr>
        <w:t xml:space="preserve"> </w:t>
      </w:r>
      <w:r w:rsidRPr="00D51974">
        <w:rPr>
          <w:b/>
          <w:sz w:val="22"/>
          <w:szCs w:val="22"/>
        </w:rPr>
        <w:t>220 milioni, di cui 177 milioni già realizzati a fine marzo 2015</w:t>
      </w:r>
      <w:r w:rsidRPr="00D51974">
        <w:rPr>
          <w:sz w:val="22"/>
          <w:szCs w:val="22"/>
        </w:rPr>
        <w:t xml:space="preserve"> (13 milioni nel primo trimestre 2015).</w:t>
      </w:r>
    </w:p>
    <w:p w:rsidR="00D51974" w:rsidRPr="00D51974" w:rsidRDefault="00D51974" w:rsidP="00D51974">
      <w:pPr>
        <w:autoSpaceDE w:val="0"/>
        <w:autoSpaceDN w:val="0"/>
        <w:adjustRightInd w:val="0"/>
        <w:jc w:val="both"/>
        <w:rPr>
          <w:sz w:val="22"/>
          <w:szCs w:val="22"/>
        </w:rPr>
      </w:pPr>
    </w:p>
    <w:p w:rsidR="00D51974" w:rsidRPr="00D51974" w:rsidRDefault="00D51974" w:rsidP="00D51974">
      <w:pPr>
        <w:autoSpaceDE w:val="0"/>
        <w:autoSpaceDN w:val="0"/>
        <w:adjustRightInd w:val="0"/>
        <w:jc w:val="both"/>
        <w:rPr>
          <w:sz w:val="22"/>
          <w:szCs w:val="22"/>
        </w:rPr>
      </w:pPr>
      <w:r w:rsidRPr="00D51974">
        <w:rPr>
          <w:sz w:val="22"/>
          <w:szCs w:val="22"/>
        </w:rPr>
        <w:t xml:space="preserve">Su tale base </w:t>
      </w:r>
      <w:r w:rsidRPr="00D51974">
        <w:rPr>
          <w:b/>
          <w:sz w:val="22"/>
          <w:szCs w:val="22"/>
        </w:rPr>
        <w:t xml:space="preserve">si prevede per l’esercizio 2015 un EBITDA consolidato ancora in crescita fino al raggiungimento di una marginalità (ante oneri non ricorrenti) pari a circa il 9% </w:t>
      </w:r>
      <w:proofErr w:type="gramStart"/>
      <w:r w:rsidRPr="00D51974">
        <w:rPr>
          <w:b/>
          <w:sz w:val="22"/>
          <w:szCs w:val="22"/>
        </w:rPr>
        <w:t>sui  ricavi</w:t>
      </w:r>
      <w:proofErr w:type="gramEnd"/>
      <w:r w:rsidRPr="00D51974">
        <w:rPr>
          <w:b/>
          <w:sz w:val="22"/>
          <w:szCs w:val="22"/>
        </w:rPr>
        <w:t xml:space="preserve"> del 2015</w:t>
      </w:r>
      <w:r w:rsidRPr="00D51974">
        <w:rPr>
          <w:sz w:val="22"/>
          <w:szCs w:val="22"/>
        </w:rPr>
        <w:t>, sempre che non si verifichi, in particolare in Italia, una ulteriore e significativa contrazione del mercato pubblicitario rispetto alla flessione comunque già prevista per il 2015.</w:t>
      </w:r>
    </w:p>
    <w:p w:rsidR="00D51974" w:rsidRPr="00D51974" w:rsidRDefault="00D51974" w:rsidP="00D51974">
      <w:pPr>
        <w:autoSpaceDE w:val="0"/>
        <w:autoSpaceDN w:val="0"/>
        <w:adjustRightInd w:val="0"/>
        <w:jc w:val="both"/>
        <w:rPr>
          <w:sz w:val="22"/>
          <w:szCs w:val="22"/>
        </w:rPr>
      </w:pPr>
    </w:p>
    <w:p w:rsidR="00D51974" w:rsidRPr="00D51974" w:rsidRDefault="00D51974" w:rsidP="00D51974">
      <w:pPr>
        <w:autoSpaceDE w:val="0"/>
        <w:autoSpaceDN w:val="0"/>
        <w:adjustRightInd w:val="0"/>
        <w:jc w:val="both"/>
        <w:rPr>
          <w:sz w:val="22"/>
          <w:szCs w:val="22"/>
        </w:rPr>
      </w:pPr>
      <w:r w:rsidRPr="00D51974">
        <w:rPr>
          <w:sz w:val="22"/>
          <w:szCs w:val="22"/>
        </w:rPr>
        <w:t xml:space="preserve">Conseguentemente, fermo restando quanto sopra, </w:t>
      </w:r>
      <w:r w:rsidRPr="00D51974">
        <w:rPr>
          <w:b/>
          <w:sz w:val="22"/>
          <w:szCs w:val="22"/>
        </w:rPr>
        <w:t>si prevede per il 2015 il ritorno ad un EBIT positivo a livello consolidato</w:t>
      </w:r>
      <w:r w:rsidRPr="00D51974">
        <w:rPr>
          <w:sz w:val="22"/>
          <w:szCs w:val="22"/>
        </w:rPr>
        <w:t xml:space="preserve">, tale da poter sostanzialmente pareggiare il carico degli oneri finanziari, necessaria </w:t>
      </w:r>
      <w:r w:rsidRPr="00D51974">
        <w:rPr>
          <w:b/>
          <w:sz w:val="22"/>
          <w:szCs w:val="22"/>
        </w:rPr>
        <w:t>premessa per un prossimo ritorno all’utile consolidato</w:t>
      </w:r>
      <w:r w:rsidRPr="00D51974">
        <w:rPr>
          <w:sz w:val="22"/>
          <w:szCs w:val="22"/>
        </w:rPr>
        <w:t>.</w:t>
      </w:r>
    </w:p>
    <w:p w:rsidR="00D51974" w:rsidRPr="00D51974" w:rsidRDefault="00D51974" w:rsidP="00D51974">
      <w:pPr>
        <w:autoSpaceDE w:val="0"/>
        <w:autoSpaceDN w:val="0"/>
        <w:adjustRightInd w:val="0"/>
        <w:jc w:val="both"/>
        <w:rPr>
          <w:sz w:val="22"/>
          <w:szCs w:val="22"/>
        </w:rPr>
      </w:pPr>
    </w:p>
    <w:p w:rsidR="00D51974" w:rsidRPr="00D51974" w:rsidRDefault="00D51974" w:rsidP="00D51974">
      <w:pPr>
        <w:jc w:val="both"/>
        <w:rPr>
          <w:sz w:val="22"/>
          <w:szCs w:val="22"/>
        </w:rPr>
      </w:pPr>
      <w:r w:rsidRPr="00D51974">
        <w:rPr>
          <w:sz w:val="22"/>
          <w:szCs w:val="22"/>
        </w:rPr>
        <w:t xml:space="preserve">Ai fini della ulteriore riduzione della PFN consolidata, la Società </w:t>
      </w:r>
      <w:r w:rsidR="00E21D6E">
        <w:rPr>
          <w:sz w:val="22"/>
          <w:szCs w:val="22"/>
        </w:rPr>
        <w:t>prosegue</w:t>
      </w:r>
      <w:r w:rsidRPr="00D51974">
        <w:rPr>
          <w:sz w:val="22"/>
          <w:szCs w:val="22"/>
        </w:rPr>
        <w:t xml:space="preserve"> le attività volte alla cessione degli </w:t>
      </w:r>
      <w:proofErr w:type="spellStart"/>
      <w:r w:rsidRPr="00D51974">
        <w:rPr>
          <w:i/>
          <w:sz w:val="22"/>
          <w:szCs w:val="22"/>
        </w:rPr>
        <w:t>Assets</w:t>
      </w:r>
      <w:proofErr w:type="spellEnd"/>
      <w:r w:rsidRPr="00D51974">
        <w:rPr>
          <w:i/>
          <w:sz w:val="22"/>
          <w:szCs w:val="22"/>
        </w:rPr>
        <w:t xml:space="preserve"> No Core</w:t>
      </w:r>
      <w:r w:rsidR="00E21D6E">
        <w:rPr>
          <w:sz w:val="22"/>
          <w:szCs w:val="22"/>
        </w:rPr>
        <w:t xml:space="preserve"> </w:t>
      </w:r>
      <w:r w:rsidRPr="00D51974">
        <w:rPr>
          <w:sz w:val="22"/>
          <w:szCs w:val="22"/>
        </w:rPr>
        <w:t xml:space="preserve">ed ha inoltre in essere alcune ulteriori trattative </w:t>
      </w:r>
      <w:r w:rsidR="00E21D6E">
        <w:rPr>
          <w:sz w:val="22"/>
          <w:szCs w:val="22"/>
        </w:rPr>
        <w:t>per la cessione</w:t>
      </w:r>
      <w:r w:rsidRPr="00D51974">
        <w:rPr>
          <w:sz w:val="22"/>
          <w:szCs w:val="22"/>
        </w:rPr>
        <w:t xml:space="preserve"> di altri </w:t>
      </w:r>
      <w:proofErr w:type="spellStart"/>
      <w:r w:rsidRPr="00D51974">
        <w:rPr>
          <w:sz w:val="22"/>
          <w:szCs w:val="22"/>
        </w:rPr>
        <w:t>assets</w:t>
      </w:r>
      <w:proofErr w:type="spellEnd"/>
      <w:r w:rsidRPr="00D51974">
        <w:rPr>
          <w:sz w:val="22"/>
          <w:szCs w:val="22"/>
        </w:rPr>
        <w:t xml:space="preserve"> (oltre all’eventuale </w:t>
      </w:r>
      <w:r w:rsidRPr="00D51974">
        <w:rPr>
          <w:sz w:val="22"/>
          <w:szCs w:val="22"/>
        </w:rPr>
        <w:lastRenderedPageBreak/>
        <w:t xml:space="preserve">cessione della partecipazione in RCS Libri </w:t>
      </w:r>
      <w:proofErr w:type="spellStart"/>
      <w:r w:rsidRPr="00D51974">
        <w:rPr>
          <w:sz w:val="22"/>
          <w:szCs w:val="22"/>
        </w:rPr>
        <w:t>S.p.A</w:t>
      </w:r>
      <w:proofErr w:type="spellEnd"/>
      <w:r w:rsidRPr="00D51974">
        <w:rPr>
          <w:sz w:val="22"/>
          <w:szCs w:val="22"/>
        </w:rPr>
        <w:t>).</w:t>
      </w:r>
    </w:p>
    <w:p w:rsidR="00D51974" w:rsidRPr="00D51974" w:rsidRDefault="00D51974" w:rsidP="00D51974">
      <w:pPr>
        <w:jc w:val="both"/>
        <w:rPr>
          <w:sz w:val="22"/>
          <w:szCs w:val="22"/>
        </w:rPr>
      </w:pPr>
    </w:p>
    <w:p w:rsidR="00D51974" w:rsidRPr="00D51974" w:rsidRDefault="00D51974" w:rsidP="00D51974">
      <w:pPr>
        <w:jc w:val="both"/>
        <w:rPr>
          <w:sz w:val="22"/>
          <w:szCs w:val="22"/>
        </w:rPr>
      </w:pPr>
      <w:r w:rsidRPr="00D51974">
        <w:rPr>
          <w:sz w:val="22"/>
          <w:szCs w:val="22"/>
        </w:rPr>
        <w:t xml:space="preserve">In assenza di eventi allo stato non prevedibili e al raggiungimento dell’EBITDA previsto per il 2015, il perfezionamento delle cessioni di </w:t>
      </w:r>
      <w:proofErr w:type="spellStart"/>
      <w:r w:rsidRPr="00D51974">
        <w:rPr>
          <w:i/>
          <w:sz w:val="22"/>
          <w:szCs w:val="22"/>
        </w:rPr>
        <w:t>Assets</w:t>
      </w:r>
      <w:proofErr w:type="spellEnd"/>
      <w:r w:rsidRPr="00D51974">
        <w:rPr>
          <w:i/>
          <w:sz w:val="22"/>
          <w:szCs w:val="22"/>
        </w:rPr>
        <w:t xml:space="preserve"> No Core</w:t>
      </w:r>
      <w:r w:rsidRPr="00D51974">
        <w:rPr>
          <w:sz w:val="22"/>
          <w:szCs w:val="22"/>
        </w:rPr>
        <w:t xml:space="preserve"> e degli eventuali altri </w:t>
      </w:r>
      <w:proofErr w:type="spellStart"/>
      <w:r w:rsidRPr="00D51974">
        <w:rPr>
          <w:sz w:val="22"/>
          <w:szCs w:val="22"/>
        </w:rPr>
        <w:t>asset</w:t>
      </w:r>
      <w:proofErr w:type="spellEnd"/>
      <w:r w:rsidRPr="00D51974">
        <w:rPr>
          <w:sz w:val="22"/>
          <w:szCs w:val="22"/>
        </w:rPr>
        <w:t xml:space="preserve"> sopra evidenziati, accompagnato da una generazione di cassa tipica tornata positiva già nel 2014, e prevista in significativo miglioramento nel 2015, è strumentale alla riduzione della PFN consolidata ed al rispetto dei </w:t>
      </w:r>
      <w:proofErr w:type="spellStart"/>
      <w:r w:rsidRPr="00D51974">
        <w:rPr>
          <w:sz w:val="22"/>
          <w:szCs w:val="22"/>
        </w:rPr>
        <w:t>covenant</w:t>
      </w:r>
      <w:proofErr w:type="spellEnd"/>
      <w:r w:rsidRPr="00D51974">
        <w:rPr>
          <w:sz w:val="22"/>
          <w:szCs w:val="22"/>
        </w:rPr>
        <w:t xml:space="preserve"> previsti nel contratto di finanziamento per il 31 dicembre 2015 (che si ricordano essere PFN inferiore a 3,5 volte l’EBITDA e PFN inferiore a 440 milioni).</w:t>
      </w:r>
    </w:p>
    <w:p w:rsidR="00265899" w:rsidRPr="00FD342C" w:rsidRDefault="00265899" w:rsidP="00265899">
      <w:pPr>
        <w:jc w:val="center"/>
        <w:rPr>
          <w:sz w:val="20"/>
          <w:szCs w:val="20"/>
        </w:rPr>
      </w:pPr>
      <w:r w:rsidRPr="00FD342C">
        <w:rPr>
          <w:sz w:val="20"/>
          <w:szCs w:val="20"/>
        </w:rPr>
        <w:t>***</w:t>
      </w:r>
    </w:p>
    <w:p w:rsidR="00D81F9E" w:rsidRDefault="00D81F9E" w:rsidP="00C274AA">
      <w:pPr>
        <w:ind w:right="-7"/>
        <w:jc w:val="both"/>
        <w:rPr>
          <w:sz w:val="22"/>
          <w:szCs w:val="22"/>
          <w:lang w:eastAsia="it-IT"/>
        </w:rPr>
      </w:pPr>
    </w:p>
    <w:p w:rsidR="00265899" w:rsidRDefault="00265899" w:rsidP="00265899">
      <w:pPr>
        <w:jc w:val="both"/>
        <w:rPr>
          <w:i/>
          <w:iCs/>
          <w:sz w:val="20"/>
          <w:szCs w:val="20"/>
        </w:rPr>
      </w:pPr>
      <w:r>
        <w:rPr>
          <w:i/>
          <w:iCs/>
          <w:sz w:val="20"/>
          <w:szCs w:val="20"/>
        </w:rPr>
        <w:t>Il Dirigente preposto alla redazione dei documenti contabili societari, Roberto Bonalumi, dichiara ai sensi del comma 2 art. 154-bis del Testo Unico della Finanza che l’informativa contabile contenuta nel presente comunicato corrisponde alle risultanze documentali, ai libri e alle scritture contabili.</w:t>
      </w:r>
    </w:p>
    <w:p w:rsidR="00DE5516" w:rsidRDefault="00DE5516" w:rsidP="00C274AA">
      <w:pPr>
        <w:ind w:right="-7"/>
        <w:jc w:val="both"/>
        <w:rPr>
          <w:sz w:val="22"/>
          <w:szCs w:val="22"/>
          <w:lang w:eastAsia="it-IT"/>
        </w:rPr>
      </w:pPr>
    </w:p>
    <w:p w:rsidR="00FB39F6" w:rsidRDefault="00FB39F6" w:rsidP="00FB39F6">
      <w:pPr>
        <w:jc w:val="center"/>
        <w:rPr>
          <w:sz w:val="20"/>
          <w:szCs w:val="20"/>
        </w:rPr>
      </w:pPr>
      <w:r w:rsidRPr="00FD342C">
        <w:rPr>
          <w:sz w:val="20"/>
          <w:szCs w:val="20"/>
        </w:rPr>
        <w:t>***</w:t>
      </w:r>
    </w:p>
    <w:p w:rsidR="00331D2E" w:rsidRPr="00331D2E" w:rsidRDefault="00331D2E" w:rsidP="00331D2E">
      <w:pPr>
        <w:jc w:val="both"/>
        <w:rPr>
          <w:i/>
          <w:iCs/>
          <w:sz w:val="20"/>
          <w:szCs w:val="20"/>
        </w:rPr>
      </w:pPr>
      <w:r w:rsidRPr="00331D2E">
        <w:rPr>
          <w:i/>
          <w:iCs/>
          <w:sz w:val="20"/>
          <w:szCs w:val="20"/>
        </w:rPr>
        <w:t>Si informa che il Resoconto Intermedio di Gestione al 31 marzo 201</w:t>
      </w:r>
      <w:r w:rsidR="00AE4F59">
        <w:rPr>
          <w:i/>
          <w:iCs/>
          <w:sz w:val="20"/>
          <w:szCs w:val="20"/>
        </w:rPr>
        <w:t>5</w:t>
      </w:r>
      <w:r w:rsidRPr="00331D2E">
        <w:rPr>
          <w:i/>
          <w:iCs/>
          <w:sz w:val="20"/>
          <w:szCs w:val="20"/>
        </w:rPr>
        <w:t xml:space="preserve"> sarà messo a disposizione del pubblico presso la sede legale della Società e presso Borsa Italiana S.p.A., oltre che pubblicato sul sito internet della Società </w:t>
      </w:r>
      <w:hyperlink r:id="rId11" w:history="1">
        <w:r w:rsidRPr="00331D2E">
          <w:rPr>
            <w:i/>
            <w:iCs/>
            <w:sz w:val="20"/>
            <w:szCs w:val="20"/>
            <w:u w:val="single"/>
          </w:rPr>
          <w:t>www.rcsmediagroup.it</w:t>
        </w:r>
      </w:hyperlink>
      <w:r w:rsidRPr="00331D2E">
        <w:rPr>
          <w:i/>
          <w:iCs/>
          <w:sz w:val="20"/>
          <w:szCs w:val="20"/>
        </w:rPr>
        <w:t>, nei termini prescritti.</w:t>
      </w:r>
    </w:p>
    <w:p w:rsidR="00331D2E" w:rsidRDefault="00331D2E" w:rsidP="00453071">
      <w:pPr>
        <w:widowControl/>
        <w:suppressAutoHyphens w:val="0"/>
        <w:spacing w:before="100" w:beforeAutospacing="1" w:after="100" w:afterAutospacing="1"/>
        <w:rPr>
          <w:sz w:val="20"/>
          <w:szCs w:val="20"/>
          <w:lang w:eastAsia="it-IT"/>
        </w:rPr>
      </w:pPr>
    </w:p>
    <w:p w:rsidR="00331D2E" w:rsidRDefault="00453071" w:rsidP="00453071">
      <w:pPr>
        <w:widowControl/>
        <w:suppressAutoHyphens w:val="0"/>
        <w:spacing w:before="100" w:beforeAutospacing="1" w:after="100" w:afterAutospacing="1"/>
        <w:rPr>
          <w:sz w:val="20"/>
          <w:szCs w:val="20"/>
          <w:lang w:eastAsia="it-IT"/>
        </w:rPr>
      </w:pPr>
      <w:r w:rsidRPr="004C00BF">
        <w:rPr>
          <w:sz w:val="20"/>
          <w:szCs w:val="20"/>
          <w:lang w:eastAsia="it-IT"/>
        </w:rPr>
        <w:t>Per ulteriori informazioni:</w:t>
      </w:r>
    </w:p>
    <w:p w:rsidR="00453071" w:rsidRDefault="00453071" w:rsidP="00453071">
      <w:pPr>
        <w:widowControl/>
        <w:suppressAutoHyphens w:val="0"/>
        <w:spacing w:before="100" w:beforeAutospacing="1" w:after="100" w:afterAutospacing="1"/>
        <w:rPr>
          <w:color w:val="0000FF"/>
          <w:sz w:val="20"/>
          <w:szCs w:val="20"/>
          <w:u w:val="single"/>
          <w:lang w:eastAsia="it-IT"/>
        </w:rPr>
      </w:pPr>
      <w:r w:rsidRPr="004C00BF">
        <w:rPr>
          <w:b/>
          <w:bCs/>
          <w:sz w:val="20"/>
          <w:szCs w:val="20"/>
          <w:lang w:eastAsia="it-IT"/>
        </w:rPr>
        <w:t xml:space="preserve">RCS </w:t>
      </w:r>
      <w:proofErr w:type="spellStart"/>
      <w:r w:rsidRPr="004C00BF">
        <w:rPr>
          <w:b/>
          <w:bCs/>
          <w:sz w:val="20"/>
          <w:szCs w:val="20"/>
          <w:lang w:eastAsia="it-IT"/>
        </w:rPr>
        <w:t>MediaGroup</w:t>
      </w:r>
      <w:proofErr w:type="spellEnd"/>
      <w:r w:rsidRPr="004C00BF">
        <w:rPr>
          <w:b/>
          <w:bCs/>
          <w:sz w:val="20"/>
          <w:szCs w:val="20"/>
          <w:lang w:eastAsia="it-IT"/>
        </w:rPr>
        <w:t xml:space="preserve"> – </w:t>
      </w:r>
      <w:r w:rsidR="00C60F2A">
        <w:rPr>
          <w:b/>
          <w:bCs/>
          <w:sz w:val="20"/>
          <w:szCs w:val="20"/>
          <w:lang w:eastAsia="it-IT"/>
        </w:rPr>
        <w:t>Corporate Communication</w:t>
      </w:r>
      <w:r w:rsidR="00331D2E">
        <w:rPr>
          <w:b/>
          <w:bCs/>
          <w:sz w:val="20"/>
          <w:szCs w:val="20"/>
          <w:lang w:eastAsia="it-IT"/>
        </w:rPr>
        <w:t>s</w:t>
      </w:r>
      <w:r w:rsidRPr="004C00BF">
        <w:rPr>
          <w:b/>
          <w:bCs/>
          <w:sz w:val="20"/>
          <w:szCs w:val="20"/>
          <w:lang w:eastAsia="it-IT"/>
        </w:rPr>
        <w:br/>
      </w:r>
      <w:r w:rsidRPr="004C00BF">
        <w:rPr>
          <w:i/>
          <w:iCs/>
          <w:sz w:val="20"/>
          <w:szCs w:val="20"/>
          <w:lang w:eastAsia="it-IT"/>
        </w:rPr>
        <w:t>Maria Verdiana Tardi</w:t>
      </w:r>
      <w:r w:rsidRPr="004C00BF">
        <w:rPr>
          <w:sz w:val="20"/>
          <w:szCs w:val="20"/>
          <w:lang w:eastAsia="it-IT"/>
        </w:rPr>
        <w:t> </w:t>
      </w:r>
      <w:r>
        <w:rPr>
          <w:sz w:val="20"/>
          <w:szCs w:val="20"/>
          <w:lang w:eastAsia="it-IT"/>
        </w:rPr>
        <w:t>– +</w:t>
      </w:r>
      <w:proofErr w:type="gramStart"/>
      <w:r>
        <w:rPr>
          <w:sz w:val="20"/>
          <w:szCs w:val="20"/>
          <w:lang w:eastAsia="it-IT"/>
        </w:rPr>
        <w:t xml:space="preserve">39 </w:t>
      </w:r>
      <w:r w:rsidRPr="004C00BF">
        <w:rPr>
          <w:sz w:val="20"/>
          <w:szCs w:val="20"/>
          <w:lang w:eastAsia="it-IT"/>
        </w:rPr>
        <w:t xml:space="preserve"> </w:t>
      </w:r>
      <w:r>
        <w:rPr>
          <w:sz w:val="20"/>
          <w:szCs w:val="20"/>
          <w:lang w:eastAsia="it-IT"/>
        </w:rPr>
        <w:t>347</w:t>
      </w:r>
      <w:proofErr w:type="gramEnd"/>
      <w:r>
        <w:rPr>
          <w:sz w:val="20"/>
          <w:szCs w:val="20"/>
          <w:lang w:eastAsia="it-IT"/>
        </w:rPr>
        <w:t xml:space="preserve"> 7017627</w:t>
      </w:r>
      <w:r w:rsidRPr="004C00BF">
        <w:rPr>
          <w:sz w:val="20"/>
          <w:szCs w:val="20"/>
          <w:lang w:eastAsia="it-IT"/>
        </w:rPr>
        <w:t xml:space="preserve"> - </w:t>
      </w:r>
      <w:hyperlink r:id="rId12" w:history="1">
        <w:r w:rsidRPr="00A52184">
          <w:rPr>
            <w:i/>
            <w:color w:val="0000FF"/>
            <w:sz w:val="20"/>
            <w:szCs w:val="20"/>
            <w:u w:val="single"/>
            <w:lang w:eastAsia="it-IT"/>
          </w:rPr>
          <w:t>verdiana.tardi@rcs.it</w:t>
        </w:r>
      </w:hyperlink>
      <w:r w:rsidRPr="004C00BF">
        <w:rPr>
          <w:sz w:val="20"/>
          <w:szCs w:val="20"/>
          <w:lang w:eastAsia="it-IT"/>
        </w:rPr>
        <w:br/>
      </w:r>
      <w:r w:rsidRPr="004C00BF">
        <w:rPr>
          <w:b/>
          <w:bCs/>
          <w:sz w:val="20"/>
          <w:szCs w:val="20"/>
          <w:lang w:eastAsia="it-IT"/>
        </w:rPr>
        <w:t xml:space="preserve">RCS </w:t>
      </w:r>
      <w:proofErr w:type="spellStart"/>
      <w:r w:rsidRPr="004C00BF">
        <w:rPr>
          <w:b/>
          <w:bCs/>
          <w:sz w:val="20"/>
          <w:szCs w:val="20"/>
          <w:lang w:eastAsia="it-IT"/>
        </w:rPr>
        <w:t>MediaGroup</w:t>
      </w:r>
      <w:proofErr w:type="spellEnd"/>
      <w:r w:rsidRPr="004C00BF">
        <w:rPr>
          <w:b/>
          <w:bCs/>
          <w:sz w:val="20"/>
          <w:szCs w:val="20"/>
          <w:lang w:eastAsia="it-IT"/>
        </w:rPr>
        <w:t xml:space="preserve"> - Investor Relations</w:t>
      </w:r>
      <w:r w:rsidRPr="004C00BF">
        <w:rPr>
          <w:b/>
          <w:bCs/>
          <w:sz w:val="20"/>
          <w:szCs w:val="20"/>
          <w:lang w:eastAsia="it-IT"/>
        </w:rPr>
        <w:br/>
      </w:r>
      <w:r w:rsidRPr="004C00BF">
        <w:rPr>
          <w:i/>
          <w:iCs/>
          <w:sz w:val="20"/>
          <w:szCs w:val="20"/>
          <w:lang w:eastAsia="it-IT"/>
        </w:rPr>
        <w:t xml:space="preserve">Federica De Medici </w:t>
      </w:r>
      <w:r w:rsidRPr="004C00BF">
        <w:rPr>
          <w:sz w:val="20"/>
          <w:szCs w:val="20"/>
          <w:lang w:eastAsia="it-IT"/>
        </w:rPr>
        <w:t>–</w:t>
      </w:r>
      <w:r>
        <w:rPr>
          <w:sz w:val="20"/>
          <w:szCs w:val="20"/>
          <w:lang w:eastAsia="it-IT"/>
        </w:rPr>
        <w:t xml:space="preserve"> +39 </w:t>
      </w:r>
      <w:r w:rsidRPr="004C00BF">
        <w:rPr>
          <w:sz w:val="20"/>
          <w:szCs w:val="20"/>
          <w:lang w:eastAsia="it-IT"/>
        </w:rPr>
        <w:t xml:space="preserve">335 230278 </w:t>
      </w:r>
      <w:r>
        <w:rPr>
          <w:sz w:val="20"/>
          <w:szCs w:val="20"/>
          <w:lang w:eastAsia="it-IT"/>
        </w:rPr>
        <w:t>-</w:t>
      </w:r>
      <w:r w:rsidRPr="004C00BF">
        <w:rPr>
          <w:sz w:val="20"/>
          <w:szCs w:val="20"/>
          <w:lang w:eastAsia="it-IT"/>
        </w:rPr>
        <w:t xml:space="preserve"> </w:t>
      </w:r>
      <w:hyperlink r:id="rId13" w:history="1">
        <w:r w:rsidRPr="00A52184">
          <w:rPr>
            <w:i/>
            <w:color w:val="0000FF"/>
            <w:sz w:val="20"/>
            <w:szCs w:val="20"/>
            <w:u w:val="single"/>
            <w:lang w:eastAsia="it-IT"/>
          </w:rPr>
          <w:t>federica.demedici@rcs.it</w:t>
        </w:r>
      </w:hyperlink>
      <w:r w:rsidRPr="004C00BF">
        <w:rPr>
          <w:sz w:val="20"/>
          <w:szCs w:val="20"/>
          <w:lang w:eastAsia="it-IT"/>
        </w:rPr>
        <w:br/>
      </w:r>
      <w:hyperlink r:id="rId14" w:history="1">
        <w:r w:rsidRPr="004C00BF">
          <w:rPr>
            <w:color w:val="0000FF"/>
            <w:sz w:val="20"/>
            <w:szCs w:val="20"/>
            <w:u w:val="single"/>
            <w:lang w:eastAsia="it-IT"/>
          </w:rPr>
          <w:t>www.rcsmediagroup.it</w:t>
        </w:r>
      </w:hyperlink>
    </w:p>
    <w:p w:rsidR="00B66CEC" w:rsidRPr="00811CF4" w:rsidRDefault="007C47E3" w:rsidP="00923BDC">
      <w:pPr>
        <w:pStyle w:val="note"/>
        <w:ind w:left="142" w:hanging="142"/>
        <w:rPr>
          <w:b/>
          <w:sz w:val="22"/>
        </w:rPr>
      </w:pPr>
      <w:bookmarkStart w:id="1" w:name="_Toc394075185"/>
      <w:r>
        <w:rPr>
          <w:color w:val="0000FF"/>
          <w:sz w:val="20"/>
          <w:szCs w:val="20"/>
          <w:u w:val="single"/>
        </w:rPr>
        <w:br w:type="page"/>
      </w:r>
    </w:p>
    <w:p w:rsidR="00B66CEC" w:rsidRPr="00A95199" w:rsidRDefault="00B66CEC" w:rsidP="00B66CEC">
      <w:pPr>
        <w:widowControl/>
        <w:suppressAutoHyphens w:val="0"/>
        <w:jc w:val="both"/>
        <w:rPr>
          <w:b/>
          <w:bCs/>
          <w:sz w:val="22"/>
          <w:szCs w:val="22"/>
          <w:lang w:eastAsia="it-IT"/>
        </w:rPr>
      </w:pPr>
      <w:r w:rsidRPr="00A95199">
        <w:rPr>
          <w:b/>
          <w:sz w:val="22"/>
          <w:szCs w:val="22"/>
        </w:rPr>
        <w:lastRenderedPageBreak/>
        <w:t xml:space="preserve">Gruppo RCS </w:t>
      </w:r>
      <w:proofErr w:type="spellStart"/>
      <w:r w:rsidRPr="00A95199">
        <w:rPr>
          <w:b/>
          <w:sz w:val="22"/>
          <w:szCs w:val="22"/>
        </w:rPr>
        <w:t>MediaGroup</w:t>
      </w:r>
      <w:proofErr w:type="spellEnd"/>
    </w:p>
    <w:p w:rsidR="00B66CEC" w:rsidRPr="00A95199" w:rsidRDefault="00B66CEC" w:rsidP="00B66CEC">
      <w:pPr>
        <w:keepNext/>
        <w:tabs>
          <w:tab w:val="left" w:pos="9720"/>
        </w:tabs>
        <w:outlineLvl w:val="2"/>
        <w:rPr>
          <w:b/>
          <w:sz w:val="22"/>
          <w:szCs w:val="22"/>
        </w:rPr>
      </w:pPr>
      <w:r w:rsidRPr="00A95199">
        <w:rPr>
          <w:b/>
          <w:sz w:val="22"/>
          <w:szCs w:val="22"/>
        </w:rPr>
        <w:t>Conto economico consolidato riclassificato</w:t>
      </w:r>
    </w:p>
    <w:p w:rsidR="00B66CEC" w:rsidRPr="00DB6CCE" w:rsidRDefault="00B66CEC" w:rsidP="00B66CEC">
      <w:pPr>
        <w:widowControl/>
        <w:suppressAutoHyphens w:val="0"/>
        <w:rPr>
          <w:sz w:val="18"/>
          <w:szCs w:val="18"/>
        </w:rPr>
      </w:pPr>
      <w:r w:rsidRPr="00DB6CCE">
        <w:rPr>
          <w:sz w:val="18"/>
          <w:szCs w:val="18"/>
        </w:rPr>
        <w:t>(</w:t>
      </w:r>
      <w:proofErr w:type="gramStart"/>
      <w:r w:rsidRPr="00DB6CCE">
        <w:rPr>
          <w:sz w:val="18"/>
          <w:szCs w:val="18"/>
        </w:rPr>
        <w:t>tabelle</w:t>
      </w:r>
      <w:proofErr w:type="gramEnd"/>
      <w:r w:rsidRPr="00DB6CCE">
        <w:rPr>
          <w:sz w:val="18"/>
          <w:szCs w:val="18"/>
        </w:rPr>
        <w:t xml:space="preserve"> non assoggettate a revisione contabile)</w:t>
      </w:r>
    </w:p>
    <w:tbl>
      <w:tblPr>
        <w:tblW w:w="9663" w:type="dxa"/>
        <w:tblCellMar>
          <w:left w:w="70" w:type="dxa"/>
          <w:right w:w="70" w:type="dxa"/>
        </w:tblCellMar>
        <w:tblLook w:val="04A0" w:firstRow="1" w:lastRow="0" w:firstColumn="1" w:lastColumn="0" w:noHBand="0" w:noVBand="1"/>
      </w:tblPr>
      <w:tblGrid>
        <w:gridCol w:w="4038"/>
        <w:gridCol w:w="1235"/>
        <w:gridCol w:w="684"/>
        <w:gridCol w:w="1334"/>
        <w:gridCol w:w="575"/>
        <w:gridCol w:w="950"/>
        <w:gridCol w:w="950"/>
      </w:tblGrid>
      <w:tr w:rsidR="00923BDC" w:rsidRPr="00923BDC" w:rsidTr="00923BDC">
        <w:trPr>
          <w:trHeight w:val="759"/>
        </w:trPr>
        <w:tc>
          <w:tcPr>
            <w:tcW w:w="4038"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bookmarkStart w:id="2" w:name="RANGE!A4:H30"/>
            <w:r w:rsidRPr="00923BDC">
              <w:rPr>
                <w:sz w:val="18"/>
                <w:szCs w:val="18"/>
                <w:lang w:eastAsia="it-IT"/>
              </w:rPr>
              <w:t>(</w:t>
            </w:r>
            <w:proofErr w:type="gramStart"/>
            <w:r w:rsidRPr="00923BDC">
              <w:rPr>
                <w:sz w:val="18"/>
                <w:szCs w:val="18"/>
                <w:lang w:eastAsia="it-IT"/>
              </w:rPr>
              <w:t>in</w:t>
            </w:r>
            <w:proofErr w:type="gramEnd"/>
            <w:r w:rsidRPr="00923BDC">
              <w:rPr>
                <w:sz w:val="18"/>
                <w:szCs w:val="18"/>
                <w:lang w:eastAsia="it-IT"/>
              </w:rPr>
              <w:t xml:space="preserve"> milioni di euro) </w:t>
            </w:r>
            <w:bookmarkEnd w:id="2"/>
          </w:p>
        </w:tc>
        <w:tc>
          <w:tcPr>
            <w:tcW w:w="1235" w:type="dxa"/>
            <w:tcBorders>
              <w:top w:val="nil"/>
              <w:left w:val="nil"/>
              <w:bottom w:val="nil"/>
              <w:right w:val="nil"/>
            </w:tcBorders>
            <w:shd w:val="clear" w:color="000000" w:fill="FFFFFF"/>
            <w:vAlign w:val="bottom"/>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31 marzo 2015</w:t>
            </w:r>
          </w:p>
        </w:tc>
        <w:tc>
          <w:tcPr>
            <w:tcW w:w="684"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w:t>
            </w:r>
          </w:p>
        </w:tc>
        <w:tc>
          <w:tcPr>
            <w:tcW w:w="1334" w:type="dxa"/>
            <w:tcBorders>
              <w:top w:val="nil"/>
              <w:left w:val="nil"/>
              <w:bottom w:val="nil"/>
              <w:right w:val="nil"/>
            </w:tcBorders>
            <w:shd w:val="clear" w:color="000000" w:fill="FFFFFF"/>
            <w:vAlign w:val="bottom"/>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31 marzo 2014</w:t>
            </w:r>
          </w:p>
        </w:tc>
        <w:tc>
          <w:tcPr>
            <w:tcW w:w="542"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w:t>
            </w:r>
          </w:p>
        </w:tc>
        <w:tc>
          <w:tcPr>
            <w:tcW w:w="89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xml:space="preserve">Differenza </w:t>
            </w:r>
          </w:p>
        </w:tc>
        <w:tc>
          <w:tcPr>
            <w:tcW w:w="934" w:type="dxa"/>
            <w:tcBorders>
              <w:top w:val="single" w:sz="4" w:space="0" w:color="auto"/>
              <w:left w:val="nil"/>
              <w:bottom w:val="nil"/>
              <w:right w:val="nil"/>
            </w:tcBorders>
            <w:shd w:val="clear" w:color="000000" w:fill="FFFFFF"/>
            <w:noWrap/>
            <w:vAlign w:val="bottom"/>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xml:space="preserve">Differenza </w:t>
            </w:r>
          </w:p>
        </w:tc>
      </w:tr>
      <w:tr w:rsidR="00923BDC" w:rsidRPr="00923BDC" w:rsidTr="00923BDC">
        <w:trPr>
          <w:trHeight w:val="235"/>
        </w:trPr>
        <w:tc>
          <w:tcPr>
            <w:tcW w:w="4038"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1235" w:type="dxa"/>
            <w:tcBorders>
              <w:top w:val="nil"/>
              <w:left w:val="nil"/>
              <w:bottom w:val="nil"/>
              <w:right w:val="nil"/>
            </w:tcBorders>
            <w:shd w:val="clear" w:color="000000" w:fill="FFFFFF"/>
            <w:vAlign w:val="bottom"/>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w:t>
            </w:r>
          </w:p>
        </w:tc>
        <w:tc>
          <w:tcPr>
            <w:tcW w:w="684"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w:t>
            </w:r>
          </w:p>
        </w:tc>
        <w:tc>
          <w:tcPr>
            <w:tcW w:w="1334" w:type="dxa"/>
            <w:tcBorders>
              <w:top w:val="nil"/>
              <w:left w:val="nil"/>
              <w:bottom w:val="nil"/>
              <w:right w:val="nil"/>
            </w:tcBorders>
            <w:shd w:val="clear" w:color="000000" w:fill="FFFFFF"/>
            <w:vAlign w:val="bottom"/>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(4)  (5)</w:t>
            </w:r>
          </w:p>
        </w:tc>
        <w:tc>
          <w:tcPr>
            <w:tcW w:w="542"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w:t>
            </w:r>
          </w:p>
        </w:tc>
        <w:tc>
          <w:tcPr>
            <w:tcW w:w="89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w:t>
            </w:r>
          </w:p>
        </w:tc>
        <w:tc>
          <w:tcPr>
            <w:tcW w:w="934"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rFonts w:ascii="Tahoma" w:hAnsi="Tahoma" w:cs="Tahoma"/>
                <w:sz w:val="18"/>
                <w:szCs w:val="18"/>
                <w:lang w:eastAsia="it-IT"/>
              </w:rPr>
            </w:pPr>
            <w:r w:rsidRPr="00923BDC">
              <w:rPr>
                <w:rFonts w:ascii="Tahoma" w:hAnsi="Tahoma" w:cs="Tahoma"/>
                <w:sz w:val="18"/>
                <w:szCs w:val="18"/>
                <w:lang w:eastAsia="it-IT"/>
              </w:rPr>
              <w:t> </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center"/>
              <w:rPr>
                <w:sz w:val="18"/>
                <w:szCs w:val="18"/>
                <w:lang w:eastAsia="it-IT"/>
              </w:rPr>
            </w:pPr>
            <w:r w:rsidRPr="00923BDC">
              <w:rPr>
                <w:sz w:val="18"/>
                <w:szCs w:val="18"/>
                <w:lang w:eastAsia="it-IT"/>
              </w:rPr>
              <w:t>A</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center"/>
              <w:rPr>
                <w:sz w:val="18"/>
                <w:szCs w:val="18"/>
                <w:lang w:eastAsia="it-IT"/>
              </w:rPr>
            </w:pPr>
            <w:r w:rsidRPr="00923BDC">
              <w:rPr>
                <w:sz w:val="18"/>
                <w:szCs w:val="18"/>
                <w:lang w:eastAsia="it-IT"/>
              </w:rPr>
              <w:t>B</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9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center"/>
              <w:rPr>
                <w:sz w:val="18"/>
                <w:szCs w:val="18"/>
                <w:lang w:eastAsia="it-IT"/>
              </w:rPr>
            </w:pPr>
            <w:r w:rsidRPr="00923BDC">
              <w:rPr>
                <w:sz w:val="18"/>
                <w:szCs w:val="18"/>
                <w:lang w:eastAsia="it-IT"/>
              </w:rPr>
              <w:t>A-B</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center"/>
              <w:rPr>
                <w:sz w:val="18"/>
                <w:szCs w:val="18"/>
                <w:lang w:eastAsia="it-IT"/>
              </w:rPr>
            </w:pPr>
            <w:r w:rsidRPr="00923BDC">
              <w:rPr>
                <w:sz w:val="18"/>
                <w:szCs w:val="18"/>
                <w:lang w:eastAsia="it-IT"/>
              </w:rPr>
              <w:t>%</w:t>
            </w:r>
          </w:p>
        </w:tc>
      </w:tr>
      <w:tr w:rsidR="00923BDC" w:rsidRPr="00923BDC" w:rsidTr="00923BDC">
        <w:trPr>
          <w:trHeight w:val="235"/>
        </w:trPr>
        <w:tc>
          <w:tcPr>
            <w:tcW w:w="4038" w:type="dxa"/>
            <w:tcBorders>
              <w:top w:val="nil"/>
              <w:left w:val="nil"/>
              <w:bottom w:val="nil"/>
              <w:right w:val="nil"/>
            </w:tcBorders>
            <w:shd w:val="clear" w:color="000000" w:fill="FFFFFF"/>
            <w:hideMark/>
          </w:tcPr>
          <w:p w:rsidR="00923BDC" w:rsidRPr="00923BDC" w:rsidRDefault="00923BDC" w:rsidP="00923BDC">
            <w:pPr>
              <w:widowControl/>
              <w:suppressAutoHyphens w:val="0"/>
              <w:rPr>
                <w:b/>
                <w:bCs/>
                <w:color w:val="000000"/>
                <w:sz w:val="18"/>
                <w:szCs w:val="18"/>
                <w:lang w:eastAsia="it-IT"/>
              </w:rPr>
            </w:pPr>
            <w:r w:rsidRPr="00923BDC">
              <w:rPr>
                <w:b/>
                <w:bCs/>
                <w:color w:val="000000"/>
                <w:sz w:val="18"/>
                <w:szCs w:val="18"/>
                <w:lang w:eastAsia="it-IT"/>
              </w:rPr>
              <w:t xml:space="preserve"> Ricavi netti </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256,5</w:t>
            </w:r>
          </w:p>
        </w:tc>
        <w:tc>
          <w:tcPr>
            <w:tcW w:w="684"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100,0</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262,9</w:t>
            </w:r>
          </w:p>
        </w:tc>
        <w:tc>
          <w:tcPr>
            <w:tcW w:w="542"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100,0</w:t>
            </w:r>
          </w:p>
        </w:tc>
        <w:tc>
          <w:tcPr>
            <w:tcW w:w="89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(6,4)</w:t>
            </w:r>
          </w:p>
        </w:tc>
        <w:tc>
          <w:tcPr>
            <w:tcW w:w="934"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i/>
                <w:iCs/>
                <w:sz w:val="18"/>
                <w:szCs w:val="18"/>
                <w:lang w:eastAsia="it-IT"/>
              </w:rPr>
            </w:pPr>
            <w:r w:rsidRPr="00923BDC">
              <w:rPr>
                <w:b/>
                <w:bCs/>
                <w:i/>
                <w:iCs/>
                <w:sz w:val="18"/>
                <w:szCs w:val="18"/>
                <w:lang w:eastAsia="it-IT"/>
              </w:rPr>
              <w:t>(2,4%)</w:t>
            </w:r>
          </w:p>
        </w:tc>
      </w:tr>
      <w:tr w:rsidR="00923BDC" w:rsidRPr="00923BDC" w:rsidTr="00923BDC">
        <w:trPr>
          <w:trHeight w:val="235"/>
        </w:trPr>
        <w:tc>
          <w:tcPr>
            <w:tcW w:w="4038"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i/>
                <w:iCs/>
                <w:sz w:val="18"/>
                <w:szCs w:val="18"/>
                <w:lang w:eastAsia="it-IT"/>
              </w:rPr>
            </w:pPr>
            <w:r w:rsidRPr="00923BDC">
              <w:rPr>
                <w:i/>
                <w:iCs/>
                <w:sz w:val="18"/>
                <w:szCs w:val="18"/>
                <w:lang w:eastAsia="it-IT"/>
              </w:rPr>
              <w:t xml:space="preserve">      Ricavi diffusionali</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134,1</w:t>
            </w:r>
          </w:p>
        </w:tc>
        <w:tc>
          <w:tcPr>
            <w:tcW w:w="684"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52,3</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134,8</w:t>
            </w:r>
          </w:p>
        </w:tc>
        <w:tc>
          <w:tcPr>
            <w:tcW w:w="54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51,3</w:t>
            </w:r>
          </w:p>
        </w:tc>
        <w:tc>
          <w:tcPr>
            <w:tcW w:w="89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(0,7)</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(0,5%)</w:t>
            </w:r>
          </w:p>
        </w:tc>
      </w:tr>
      <w:tr w:rsidR="00923BDC" w:rsidRPr="00923BDC" w:rsidTr="00923BDC">
        <w:trPr>
          <w:trHeight w:val="235"/>
        </w:trPr>
        <w:tc>
          <w:tcPr>
            <w:tcW w:w="403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i/>
                <w:iCs/>
                <w:sz w:val="18"/>
                <w:szCs w:val="18"/>
                <w:lang w:eastAsia="it-IT"/>
              </w:rPr>
            </w:pPr>
            <w:r w:rsidRPr="00923BDC">
              <w:rPr>
                <w:i/>
                <w:iCs/>
                <w:sz w:val="18"/>
                <w:szCs w:val="18"/>
                <w:lang w:eastAsia="it-IT"/>
              </w:rPr>
              <w:t xml:space="preserve">      Ricavi pubblicitari (1)</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96,3</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37,5</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101,1</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38,5</w:t>
            </w:r>
          </w:p>
        </w:tc>
        <w:tc>
          <w:tcPr>
            <w:tcW w:w="89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(4,8)</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(4,7%)</w:t>
            </w:r>
          </w:p>
        </w:tc>
      </w:tr>
      <w:tr w:rsidR="00923BDC" w:rsidRPr="00923BDC" w:rsidTr="00923BDC">
        <w:trPr>
          <w:trHeight w:val="235"/>
        </w:trPr>
        <w:tc>
          <w:tcPr>
            <w:tcW w:w="403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i/>
                <w:iCs/>
                <w:sz w:val="18"/>
                <w:szCs w:val="18"/>
                <w:lang w:eastAsia="it-IT"/>
              </w:rPr>
            </w:pPr>
            <w:r w:rsidRPr="00923BDC">
              <w:rPr>
                <w:i/>
                <w:iCs/>
                <w:sz w:val="18"/>
                <w:szCs w:val="18"/>
                <w:lang w:eastAsia="it-IT"/>
              </w:rPr>
              <w:t xml:space="preserve">      Ricavi editoriali diversi (2)</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26,1</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10,2</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27,0</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10,3</w:t>
            </w:r>
          </w:p>
        </w:tc>
        <w:tc>
          <w:tcPr>
            <w:tcW w:w="89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(0,9)</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(3,3%)</w:t>
            </w:r>
          </w:p>
        </w:tc>
      </w:tr>
      <w:tr w:rsidR="00923BDC" w:rsidRPr="00923BDC" w:rsidTr="00923BDC">
        <w:trPr>
          <w:trHeight w:val="235"/>
        </w:trPr>
        <w:tc>
          <w:tcPr>
            <w:tcW w:w="4038" w:type="dxa"/>
            <w:tcBorders>
              <w:top w:val="nil"/>
              <w:left w:val="nil"/>
              <w:bottom w:val="single" w:sz="4" w:space="0" w:color="auto"/>
              <w:right w:val="nil"/>
            </w:tcBorders>
            <w:shd w:val="clear" w:color="000000" w:fill="FFFFFF"/>
            <w:hideMark/>
          </w:tcPr>
          <w:p w:rsidR="00923BDC" w:rsidRPr="00923BDC" w:rsidRDefault="00923BDC" w:rsidP="00923BDC">
            <w:pPr>
              <w:widowControl/>
              <w:suppressAutoHyphens w:val="0"/>
              <w:rPr>
                <w:color w:val="000000"/>
                <w:sz w:val="18"/>
                <w:szCs w:val="18"/>
                <w:lang w:eastAsia="it-IT"/>
              </w:rPr>
            </w:pPr>
            <w:r w:rsidRPr="00923BDC">
              <w:rPr>
                <w:color w:val="000000"/>
                <w:sz w:val="18"/>
                <w:szCs w:val="18"/>
                <w:lang w:eastAsia="it-IT"/>
              </w:rPr>
              <w:t xml:space="preserve"> Costi operativi</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(195,2)</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(76,1)</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(202,6)</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(77,1)</w:t>
            </w:r>
          </w:p>
        </w:tc>
        <w:tc>
          <w:tcPr>
            <w:tcW w:w="89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7,4</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(3,7%)</w:t>
            </w:r>
          </w:p>
        </w:tc>
      </w:tr>
      <w:tr w:rsidR="00923BDC" w:rsidRPr="00923BDC" w:rsidTr="00923BDC">
        <w:trPr>
          <w:trHeight w:val="235"/>
        </w:trPr>
        <w:tc>
          <w:tcPr>
            <w:tcW w:w="4038" w:type="dxa"/>
            <w:tcBorders>
              <w:top w:val="nil"/>
              <w:left w:val="nil"/>
              <w:bottom w:val="single" w:sz="4" w:space="0" w:color="auto"/>
              <w:right w:val="nil"/>
            </w:tcBorders>
            <w:shd w:val="clear" w:color="000000" w:fill="FFFFFF"/>
            <w:hideMark/>
          </w:tcPr>
          <w:p w:rsidR="00923BDC" w:rsidRPr="00923BDC" w:rsidRDefault="00923BDC" w:rsidP="00923BDC">
            <w:pPr>
              <w:widowControl/>
              <w:suppressAutoHyphens w:val="0"/>
              <w:rPr>
                <w:color w:val="000000"/>
                <w:sz w:val="18"/>
                <w:szCs w:val="18"/>
                <w:lang w:eastAsia="it-IT"/>
              </w:rPr>
            </w:pPr>
            <w:r w:rsidRPr="00923BDC">
              <w:rPr>
                <w:color w:val="000000"/>
                <w:sz w:val="18"/>
                <w:szCs w:val="18"/>
                <w:lang w:eastAsia="it-IT"/>
              </w:rPr>
              <w:t xml:space="preserve"> Costo del lavoro </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(80,0)</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(31,2)</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(100,3)</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(38,2)</w:t>
            </w:r>
          </w:p>
        </w:tc>
        <w:tc>
          <w:tcPr>
            <w:tcW w:w="89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20,3</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(20,2%)</w:t>
            </w:r>
          </w:p>
        </w:tc>
      </w:tr>
      <w:tr w:rsidR="00923BDC" w:rsidRPr="00923BDC" w:rsidTr="00923BDC">
        <w:trPr>
          <w:trHeight w:val="235"/>
        </w:trPr>
        <w:tc>
          <w:tcPr>
            <w:tcW w:w="403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 Svalutazione crediti</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(2,6)</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(1,0)</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(4,1)</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(1,6)</w:t>
            </w:r>
          </w:p>
        </w:tc>
        <w:tc>
          <w:tcPr>
            <w:tcW w:w="89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1,5</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(36,6%)</w:t>
            </w:r>
          </w:p>
        </w:tc>
      </w:tr>
      <w:tr w:rsidR="00923BDC" w:rsidRPr="00923BDC" w:rsidTr="00923BDC">
        <w:trPr>
          <w:trHeight w:val="235"/>
        </w:trPr>
        <w:tc>
          <w:tcPr>
            <w:tcW w:w="403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 Accantonamenti per rischi</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(2,1)</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(0,8)</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(1,8)</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(0,7)</w:t>
            </w:r>
          </w:p>
        </w:tc>
        <w:tc>
          <w:tcPr>
            <w:tcW w:w="89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(0,3)</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16,7%</w:t>
            </w:r>
          </w:p>
        </w:tc>
      </w:tr>
      <w:tr w:rsidR="00923BDC" w:rsidRPr="00923BDC" w:rsidTr="00923BDC">
        <w:trPr>
          <w:trHeight w:val="235"/>
        </w:trPr>
        <w:tc>
          <w:tcPr>
            <w:tcW w:w="4038" w:type="dxa"/>
            <w:tcBorders>
              <w:top w:val="nil"/>
              <w:left w:val="nil"/>
              <w:bottom w:val="single" w:sz="4" w:space="0" w:color="auto"/>
              <w:right w:val="nil"/>
            </w:tcBorders>
            <w:shd w:val="clear" w:color="000000" w:fill="FFFFFF"/>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xml:space="preserve"> EBITDA (3) </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(23,4)</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(9,1)</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(45,9)</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(17,5)</w:t>
            </w:r>
          </w:p>
        </w:tc>
        <w:tc>
          <w:tcPr>
            <w:tcW w:w="89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22,5</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i/>
                <w:iCs/>
                <w:sz w:val="18"/>
                <w:szCs w:val="18"/>
                <w:lang w:eastAsia="it-IT"/>
              </w:rPr>
            </w:pPr>
            <w:r w:rsidRPr="00923BDC">
              <w:rPr>
                <w:b/>
                <w:bCs/>
                <w:i/>
                <w:iCs/>
                <w:sz w:val="18"/>
                <w:szCs w:val="18"/>
                <w:lang w:eastAsia="it-IT"/>
              </w:rPr>
              <w:t>(49,0%)</w:t>
            </w:r>
          </w:p>
        </w:tc>
      </w:tr>
      <w:tr w:rsidR="00923BDC" w:rsidRPr="00923BDC" w:rsidTr="00923BDC">
        <w:trPr>
          <w:trHeight w:val="235"/>
        </w:trPr>
        <w:tc>
          <w:tcPr>
            <w:tcW w:w="403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 </w:t>
            </w:r>
            <w:proofErr w:type="spellStart"/>
            <w:r w:rsidRPr="00923BDC">
              <w:rPr>
                <w:sz w:val="18"/>
                <w:szCs w:val="18"/>
                <w:lang w:eastAsia="it-IT"/>
              </w:rPr>
              <w:t>Amm.immobilizzazioni</w:t>
            </w:r>
            <w:proofErr w:type="spellEnd"/>
            <w:r w:rsidRPr="00923BDC">
              <w:rPr>
                <w:sz w:val="18"/>
                <w:szCs w:val="18"/>
                <w:lang w:eastAsia="it-IT"/>
              </w:rPr>
              <w:t xml:space="preserve"> immateriali</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(10,0)</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(3,9)</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(8,6)</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(3,3)</w:t>
            </w:r>
          </w:p>
        </w:tc>
        <w:tc>
          <w:tcPr>
            <w:tcW w:w="89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(1,4)</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 </w:t>
            </w:r>
            <w:proofErr w:type="spellStart"/>
            <w:r w:rsidRPr="00923BDC">
              <w:rPr>
                <w:sz w:val="18"/>
                <w:szCs w:val="18"/>
                <w:lang w:eastAsia="it-IT"/>
              </w:rPr>
              <w:t>Amm.immobilizzazioni</w:t>
            </w:r>
            <w:proofErr w:type="spellEnd"/>
            <w:r w:rsidRPr="00923BDC">
              <w:rPr>
                <w:sz w:val="18"/>
                <w:szCs w:val="18"/>
                <w:lang w:eastAsia="it-IT"/>
              </w:rPr>
              <w:t xml:space="preserve"> materiali</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(5,2)</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(2,0)</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(5,4)</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(2,1)</w:t>
            </w:r>
          </w:p>
        </w:tc>
        <w:tc>
          <w:tcPr>
            <w:tcW w:w="89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0,2</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 </w:t>
            </w:r>
            <w:proofErr w:type="spellStart"/>
            <w:r w:rsidRPr="00923BDC">
              <w:rPr>
                <w:sz w:val="18"/>
                <w:szCs w:val="18"/>
                <w:lang w:eastAsia="it-IT"/>
              </w:rPr>
              <w:t>Amm.investimenti</w:t>
            </w:r>
            <w:proofErr w:type="spellEnd"/>
            <w:r w:rsidRPr="00923BDC">
              <w:rPr>
                <w:sz w:val="18"/>
                <w:szCs w:val="18"/>
                <w:lang w:eastAsia="it-IT"/>
              </w:rPr>
              <w:t xml:space="preserve"> immobiliari</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(0,2)</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(0,1)</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(0,2)</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(0,1)</w:t>
            </w:r>
          </w:p>
        </w:tc>
        <w:tc>
          <w:tcPr>
            <w:tcW w:w="89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0,0</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 Altre svalutazioni immobilizzazioni</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(0,3)</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(0,1)</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0,0</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0,0</w:t>
            </w:r>
          </w:p>
        </w:tc>
        <w:tc>
          <w:tcPr>
            <w:tcW w:w="89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(0,3)</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hideMark/>
          </w:tcPr>
          <w:p w:rsidR="00923BDC" w:rsidRPr="00923BDC" w:rsidRDefault="00923BDC" w:rsidP="00923BDC">
            <w:pPr>
              <w:widowControl/>
              <w:suppressAutoHyphens w:val="0"/>
              <w:rPr>
                <w:b/>
                <w:bCs/>
                <w:color w:val="000000"/>
                <w:sz w:val="18"/>
                <w:szCs w:val="18"/>
                <w:lang w:eastAsia="it-IT"/>
              </w:rPr>
            </w:pPr>
            <w:r w:rsidRPr="00923BDC">
              <w:rPr>
                <w:b/>
                <w:bCs/>
                <w:color w:val="000000"/>
                <w:sz w:val="18"/>
                <w:szCs w:val="18"/>
                <w:lang w:eastAsia="it-IT"/>
              </w:rPr>
              <w:t xml:space="preserve"> Risultato operativo (EBIT)</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(39,1)</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(15,2)</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(60,1)</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(22,9)</w:t>
            </w:r>
          </w:p>
        </w:tc>
        <w:tc>
          <w:tcPr>
            <w:tcW w:w="89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21,0</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hideMark/>
          </w:tcPr>
          <w:p w:rsidR="00923BDC" w:rsidRPr="00923BDC" w:rsidRDefault="00923BDC" w:rsidP="00923BDC">
            <w:pPr>
              <w:widowControl/>
              <w:suppressAutoHyphens w:val="0"/>
              <w:rPr>
                <w:color w:val="000000"/>
                <w:sz w:val="18"/>
                <w:szCs w:val="18"/>
                <w:lang w:eastAsia="it-IT"/>
              </w:rPr>
            </w:pPr>
            <w:r w:rsidRPr="00923BDC">
              <w:rPr>
                <w:color w:val="000000"/>
                <w:sz w:val="18"/>
                <w:szCs w:val="18"/>
                <w:lang w:eastAsia="it-IT"/>
              </w:rPr>
              <w:t xml:space="preserve"> Proventi (oneri) finanziari netti </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(8,9)</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(3,5)</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(10,2)</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(3,9)</w:t>
            </w:r>
          </w:p>
        </w:tc>
        <w:tc>
          <w:tcPr>
            <w:tcW w:w="89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1,3</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hideMark/>
          </w:tcPr>
          <w:p w:rsidR="00923BDC" w:rsidRPr="00923BDC" w:rsidRDefault="00923BDC" w:rsidP="00923BDC">
            <w:pPr>
              <w:widowControl/>
              <w:suppressAutoHyphens w:val="0"/>
              <w:rPr>
                <w:color w:val="000000"/>
                <w:sz w:val="18"/>
                <w:szCs w:val="18"/>
                <w:lang w:eastAsia="it-IT"/>
              </w:rPr>
            </w:pPr>
            <w:r w:rsidRPr="00923BDC">
              <w:rPr>
                <w:color w:val="000000"/>
                <w:sz w:val="18"/>
                <w:szCs w:val="18"/>
                <w:lang w:eastAsia="it-IT"/>
              </w:rPr>
              <w:t xml:space="preserve"> Proventi (oneri) da attività/</w:t>
            </w:r>
            <w:proofErr w:type="gramStart"/>
            <w:r w:rsidRPr="00923BDC">
              <w:rPr>
                <w:color w:val="000000"/>
                <w:sz w:val="18"/>
                <w:szCs w:val="18"/>
                <w:lang w:eastAsia="it-IT"/>
              </w:rPr>
              <w:t>passività  finanziarie</w:t>
            </w:r>
            <w:proofErr w:type="gramEnd"/>
            <w:r w:rsidRPr="00923BDC">
              <w:rPr>
                <w:color w:val="000000"/>
                <w:sz w:val="18"/>
                <w:szCs w:val="18"/>
                <w:lang w:eastAsia="it-IT"/>
              </w:rPr>
              <w:t xml:space="preserve"> </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(0,2)</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(0,1)</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0,0</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0,0</w:t>
            </w:r>
          </w:p>
        </w:tc>
        <w:tc>
          <w:tcPr>
            <w:tcW w:w="89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(0,2)</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hideMark/>
          </w:tcPr>
          <w:p w:rsidR="00923BDC" w:rsidRPr="00923BDC" w:rsidRDefault="00923BDC" w:rsidP="00923BDC">
            <w:pPr>
              <w:widowControl/>
              <w:suppressAutoHyphens w:val="0"/>
              <w:rPr>
                <w:color w:val="000000"/>
                <w:sz w:val="18"/>
                <w:szCs w:val="18"/>
                <w:lang w:eastAsia="it-IT"/>
              </w:rPr>
            </w:pPr>
            <w:r w:rsidRPr="00923BDC">
              <w:rPr>
                <w:color w:val="000000"/>
                <w:sz w:val="18"/>
                <w:szCs w:val="18"/>
                <w:lang w:eastAsia="it-IT"/>
              </w:rPr>
              <w:t xml:space="preserve"> Proventi (oneri) da partecipazioni metodo del PN</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0,3</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0,1</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(0,3)</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(0,1)</w:t>
            </w:r>
          </w:p>
        </w:tc>
        <w:tc>
          <w:tcPr>
            <w:tcW w:w="89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0,6</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xml:space="preserve"> Risultato prima delle imposte </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(47,9)</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(18,7)</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(70,6)</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(26,9)</w:t>
            </w:r>
          </w:p>
        </w:tc>
        <w:tc>
          <w:tcPr>
            <w:tcW w:w="89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22,7</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hideMark/>
          </w:tcPr>
          <w:p w:rsidR="00923BDC" w:rsidRPr="00923BDC" w:rsidRDefault="00923BDC" w:rsidP="00923BDC">
            <w:pPr>
              <w:widowControl/>
              <w:suppressAutoHyphens w:val="0"/>
              <w:rPr>
                <w:color w:val="000000"/>
                <w:sz w:val="18"/>
                <w:szCs w:val="18"/>
                <w:lang w:eastAsia="it-IT"/>
              </w:rPr>
            </w:pPr>
            <w:r w:rsidRPr="00923BDC">
              <w:rPr>
                <w:color w:val="000000"/>
                <w:sz w:val="18"/>
                <w:szCs w:val="18"/>
                <w:lang w:eastAsia="it-IT"/>
              </w:rPr>
              <w:t xml:space="preserve"> Imposte sul reddito</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12,3</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4,8</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12,5</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4,8</w:t>
            </w:r>
          </w:p>
        </w:tc>
        <w:tc>
          <w:tcPr>
            <w:tcW w:w="89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(0,2)</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vAlign w:val="bottom"/>
            <w:hideMark/>
          </w:tcPr>
          <w:p w:rsidR="00923BDC" w:rsidRPr="00923BDC" w:rsidRDefault="00923BDC" w:rsidP="00923BDC">
            <w:pPr>
              <w:widowControl/>
              <w:suppressAutoHyphens w:val="0"/>
              <w:rPr>
                <w:b/>
                <w:bCs/>
                <w:color w:val="000000"/>
                <w:sz w:val="18"/>
                <w:szCs w:val="18"/>
                <w:lang w:eastAsia="it-IT"/>
              </w:rPr>
            </w:pPr>
            <w:r w:rsidRPr="00923BDC">
              <w:rPr>
                <w:b/>
                <w:bCs/>
                <w:color w:val="000000"/>
                <w:sz w:val="18"/>
                <w:szCs w:val="18"/>
                <w:lang w:eastAsia="it-IT"/>
              </w:rPr>
              <w:t xml:space="preserve"> Risultato attività destinate a continuare</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(35,6)</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(13,9)</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(58,1)</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(22,1)</w:t>
            </w:r>
          </w:p>
        </w:tc>
        <w:tc>
          <w:tcPr>
            <w:tcW w:w="89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22,5</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 Risultato delle attività destinate alla dismissione e </w:t>
            </w:r>
            <w:proofErr w:type="gramStart"/>
            <w:r w:rsidRPr="00923BDC">
              <w:rPr>
                <w:sz w:val="18"/>
                <w:szCs w:val="18"/>
                <w:lang w:eastAsia="it-IT"/>
              </w:rPr>
              <w:t>dismesse  (</w:t>
            </w:r>
            <w:proofErr w:type="gramEnd"/>
            <w:r w:rsidRPr="00923BDC">
              <w:rPr>
                <w:sz w:val="18"/>
                <w:szCs w:val="18"/>
                <w:lang w:eastAsia="it-IT"/>
              </w:rPr>
              <w:t>5)</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0,0</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0,0</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3,9</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1,5</w:t>
            </w:r>
          </w:p>
        </w:tc>
        <w:tc>
          <w:tcPr>
            <w:tcW w:w="89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(3,9)</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xml:space="preserve"> Risultato netto prima degli interessi di terzi </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(35,6)</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(13,9)</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(54,2)</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(20,6)</w:t>
            </w:r>
          </w:p>
        </w:tc>
        <w:tc>
          <w:tcPr>
            <w:tcW w:w="89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18,6</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hideMark/>
          </w:tcPr>
          <w:p w:rsidR="00923BDC" w:rsidRPr="00923BDC" w:rsidRDefault="00923BDC" w:rsidP="00923BDC">
            <w:pPr>
              <w:widowControl/>
              <w:suppressAutoHyphens w:val="0"/>
              <w:rPr>
                <w:color w:val="000000"/>
                <w:sz w:val="18"/>
                <w:szCs w:val="18"/>
                <w:lang w:eastAsia="it-IT"/>
              </w:rPr>
            </w:pPr>
            <w:r w:rsidRPr="00923BDC">
              <w:rPr>
                <w:color w:val="000000"/>
                <w:sz w:val="18"/>
                <w:szCs w:val="18"/>
                <w:lang w:eastAsia="it-IT"/>
              </w:rPr>
              <w:t xml:space="preserve"> (Utile) perdita netta di competenza di terzi </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0,4</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0,2</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0,3</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0,1</w:t>
            </w:r>
          </w:p>
        </w:tc>
        <w:tc>
          <w:tcPr>
            <w:tcW w:w="89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i/>
                <w:iCs/>
                <w:sz w:val="18"/>
                <w:szCs w:val="18"/>
                <w:lang w:eastAsia="it-IT"/>
              </w:rPr>
            </w:pPr>
            <w:r w:rsidRPr="00923BDC">
              <w:rPr>
                <w:i/>
                <w:iCs/>
                <w:sz w:val="18"/>
                <w:szCs w:val="18"/>
                <w:lang w:eastAsia="it-IT"/>
              </w:rPr>
              <w:t>0,1</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r>
      <w:tr w:rsidR="00923BDC" w:rsidRPr="00923BDC" w:rsidTr="00923BDC">
        <w:trPr>
          <w:trHeight w:val="235"/>
        </w:trPr>
        <w:tc>
          <w:tcPr>
            <w:tcW w:w="4038" w:type="dxa"/>
            <w:tcBorders>
              <w:top w:val="nil"/>
              <w:left w:val="nil"/>
              <w:bottom w:val="single" w:sz="4" w:space="0" w:color="auto"/>
              <w:right w:val="nil"/>
            </w:tcBorders>
            <w:shd w:val="clear" w:color="000000" w:fill="FFFFFF"/>
            <w:hideMark/>
          </w:tcPr>
          <w:p w:rsidR="00923BDC" w:rsidRPr="00923BDC" w:rsidRDefault="00923BDC" w:rsidP="00923BDC">
            <w:pPr>
              <w:widowControl/>
              <w:suppressAutoHyphens w:val="0"/>
              <w:rPr>
                <w:b/>
                <w:bCs/>
                <w:color w:val="000000"/>
                <w:sz w:val="18"/>
                <w:szCs w:val="18"/>
                <w:lang w:eastAsia="it-IT"/>
              </w:rPr>
            </w:pPr>
            <w:r w:rsidRPr="00923BDC">
              <w:rPr>
                <w:b/>
                <w:bCs/>
                <w:color w:val="000000"/>
                <w:sz w:val="18"/>
                <w:szCs w:val="18"/>
                <w:lang w:eastAsia="it-IT"/>
              </w:rPr>
              <w:t xml:space="preserve"> Risultato netto di periodo di Gruppo</w:t>
            </w:r>
          </w:p>
        </w:tc>
        <w:tc>
          <w:tcPr>
            <w:tcW w:w="1235"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(35,2)</w:t>
            </w:r>
          </w:p>
        </w:tc>
        <w:tc>
          <w:tcPr>
            <w:tcW w:w="68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(13,7)</w:t>
            </w:r>
          </w:p>
        </w:tc>
        <w:tc>
          <w:tcPr>
            <w:tcW w:w="13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(53,9)</w:t>
            </w:r>
          </w:p>
        </w:tc>
        <w:tc>
          <w:tcPr>
            <w:tcW w:w="54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(20,5)</w:t>
            </w:r>
          </w:p>
        </w:tc>
        <w:tc>
          <w:tcPr>
            <w:tcW w:w="89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18,7</w:t>
            </w:r>
          </w:p>
        </w:tc>
        <w:tc>
          <w:tcPr>
            <w:tcW w:w="934"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rFonts w:ascii="Arial" w:hAnsi="Arial" w:cs="Arial"/>
                <w:sz w:val="20"/>
                <w:szCs w:val="20"/>
                <w:lang w:eastAsia="it-IT"/>
              </w:rPr>
            </w:pPr>
            <w:r w:rsidRPr="00923BDC">
              <w:rPr>
                <w:rFonts w:ascii="Arial" w:hAnsi="Arial" w:cs="Arial"/>
                <w:sz w:val="20"/>
                <w:szCs w:val="20"/>
                <w:lang w:eastAsia="it-IT"/>
              </w:rPr>
              <w:t> </w:t>
            </w:r>
          </w:p>
        </w:tc>
      </w:tr>
    </w:tbl>
    <w:p w:rsidR="00B66CEC" w:rsidRDefault="00B66CEC" w:rsidP="00B66CEC"/>
    <w:p w:rsidR="00B66CEC" w:rsidRDefault="00B66CEC" w:rsidP="00B66CEC"/>
    <w:p w:rsidR="00B66CEC" w:rsidRPr="00AC29D3" w:rsidRDefault="00B66CEC" w:rsidP="00B66CEC">
      <w:pPr>
        <w:pStyle w:val="note"/>
        <w:rPr>
          <w:szCs w:val="14"/>
        </w:rPr>
      </w:pPr>
      <w:r w:rsidRPr="00AC29D3">
        <w:rPr>
          <w:szCs w:val="14"/>
        </w:rPr>
        <w:t>(1) I ricavi pubblicitari al 31 marzo 2015 comprendono 57,4 milioni realizzati tramite la divisione Pubblicità concessionaria del gruppo (di cui 47,3 milioni da Media Italia, 9,5 milioni da Spazi di Altri editori terzi, 0,5 milioni da Media Spagna e 0,1 milioni da Eventi vari) e 38,</w:t>
      </w:r>
      <w:r>
        <w:rPr>
          <w:szCs w:val="14"/>
        </w:rPr>
        <w:t>9</w:t>
      </w:r>
      <w:r w:rsidRPr="00AC29D3">
        <w:rPr>
          <w:szCs w:val="14"/>
        </w:rPr>
        <w:t xml:space="preserve"> milioni realizzati direttamente dagli editori (di cui </w:t>
      </w:r>
      <w:r>
        <w:rPr>
          <w:szCs w:val="14"/>
        </w:rPr>
        <w:t>30,2</w:t>
      </w:r>
      <w:r w:rsidRPr="00AC29D3">
        <w:rPr>
          <w:szCs w:val="14"/>
        </w:rPr>
        <w:t xml:space="preserve"> milioni si riferiscono a Media Spagna, 3,3 milioni a Eventi Sportivi, 3,2 milioni a Media Italia, 2,5 milioni a Funzioni di Corporate e Altre Attività e 0,3 milioni a elisioni verso società del Gruppo).</w:t>
      </w:r>
    </w:p>
    <w:p w:rsidR="00B66CEC" w:rsidRPr="00087CD5" w:rsidRDefault="00B66CEC" w:rsidP="00B66CEC">
      <w:pPr>
        <w:pStyle w:val="note"/>
        <w:rPr>
          <w:szCs w:val="14"/>
        </w:rPr>
      </w:pPr>
      <w:r w:rsidRPr="00087CD5">
        <w:rPr>
          <w:szCs w:val="14"/>
        </w:rPr>
        <w:t>I ricavi pubblicitari al 31 marzo 2014 comprendono 61,8 milioni realizzati tramite la divisione Pubblicità concessionaria del gruppo (di cui 53,4 milioni da Media Italia, 8 milioni da Spazi di Altri editori terzi, 0,4 milioni da Media Spagna) e 39,3</w:t>
      </w:r>
      <w:r w:rsidRPr="00087CD5">
        <w:t xml:space="preserve"> milioni </w:t>
      </w:r>
      <w:r w:rsidRPr="00087CD5">
        <w:rPr>
          <w:szCs w:val="14"/>
        </w:rPr>
        <w:t>realizzati direttamente dagli editori (di cui 30,5 milioni si riferiscono a Media Spagna, 4 milioni a Eventi Sportivi, 2,6 milioni a Media Italia, 2,4 milioni a Funzioni di Corporate e Altre Attività e 0,</w:t>
      </w:r>
      <w:r>
        <w:rPr>
          <w:szCs w:val="14"/>
        </w:rPr>
        <w:t>2</w:t>
      </w:r>
      <w:r w:rsidRPr="00087CD5">
        <w:rPr>
          <w:szCs w:val="14"/>
        </w:rPr>
        <w:t xml:space="preserve"> milioni a elisioni verso società del Gruppo).</w:t>
      </w:r>
    </w:p>
    <w:p w:rsidR="00B66CEC" w:rsidRPr="00D844C1" w:rsidRDefault="00B66CEC" w:rsidP="00B66CEC">
      <w:pPr>
        <w:pStyle w:val="note"/>
        <w:rPr>
          <w:szCs w:val="14"/>
        </w:rPr>
      </w:pPr>
      <w:r w:rsidRPr="00D844C1">
        <w:rPr>
          <w:szCs w:val="14"/>
        </w:rPr>
        <w:t>(2) I ricavi editoriali diversi accolgono prevalentemente i ricavi relativi alla vendita di diritti cinematografici di Media Spagna, i ricavi per attività televisive di Media Italia e di Media Spagna, i ricavi per la cessione di royalties a società terze, i ricavi correlati a eventi e manifestazioni in Italia e in Spagna, i ricavi dell’</w:t>
      </w:r>
      <w:r w:rsidRPr="00C064A9">
        <w:rPr>
          <w:i/>
          <w:szCs w:val="14"/>
        </w:rPr>
        <w:t>e-commerce</w:t>
      </w:r>
      <w:r w:rsidRPr="00D844C1">
        <w:rPr>
          <w:szCs w:val="14"/>
        </w:rPr>
        <w:t>, nonché i ricavi derivanti dalla vendita delle liste clienti e dei cofanetti per l’infanzia delle società del gruppo Sfera, facenti capo a Funzioni di Corporate e Altre attività.</w:t>
      </w:r>
    </w:p>
    <w:p w:rsidR="00B66CEC" w:rsidRPr="00D844C1" w:rsidRDefault="00B66CEC" w:rsidP="00B66CEC">
      <w:pPr>
        <w:pStyle w:val="note"/>
        <w:rPr>
          <w:szCs w:val="14"/>
        </w:rPr>
      </w:pPr>
      <w:r w:rsidRPr="00D844C1">
        <w:rPr>
          <w:szCs w:val="14"/>
        </w:rPr>
        <w:t>(3) Da intendersi come risultato operativo ante ammortamenti e svalutazioni.</w:t>
      </w:r>
    </w:p>
    <w:p w:rsidR="00B66CEC" w:rsidRPr="00512CDF" w:rsidRDefault="00B66CEC" w:rsidP="00B66CEC">
      <w:pPr>
        <w:pStyle w:val="note"/>
        <w:rPr>
          <w:szCs w:val="14"/>
        </w:rPr>
      </w:pPr>
      <w:r w:rsidRPr="00D844C1">
        <w:rPr>
          <w:szCs w:val="14"/>
        </w:rPr>
        <w:t>(4) In data 1 marzo 2014 è stato ceduto il ramo d’attività ed il marchio Casa Editrice La Tribuna. Tale variazione ha comportato complessivamente minor ricavi consolidati per 0</w:t>
      </w:r>
      <w:r w:rsidRPr="00512CDF">
        <w:rPr>
          <w:szCs w:val="14"/>
        </w:rPr>
        <w:t xml:space="preserve">,3 milioni ed un miglioramento dell’EBITDA pari a 0,4 milioni. </w:t>
      </w:r>
    </w:p>
    <w:p w:rsidR="00B66CEC" w:rsidRPr="00512CDF" w:rsidRDefault="00B66CEC" w:rsidP="00B66CEC">
      <w:pPr>
        <w:pStyle w:val="note"/>
        <w:rPr>
          <w:szCs w:val="14"/>
        </w:rPr>
      </w:pPr>
      <w:r w:rsidRPr="00512CDF">
        <w:rPr>
          <w:szCs w:val="14"/>
        </w:rPr>
        <w:t xml:space="preserve"> (5) Al 31 marzo 2014 il Risultato delle attività destinate alla dismissione e dismesse (pari a 7,1 milioni nel resoconto intermedio di gestione </w:t>
      </w:r>
      <w:r>
        <w:rPr>
          <w:szCs w:val="14"/>
        </w:rPr>
        <w:t>de</w:t>
      </w:r>
      <w:r w:rsidRPr="00512CDF">
        <w:rPr>
          <w:szCs w:val="14"/>
        </w:rPr>
        <w:t xml:space="preserve">l 31 marzo 2014) è stato ritrattato per tener conto anche del risultato maturato nel primo trimestre 2014 e relativo alle partecipate </w:t>
      </w:r>
      <w:proofErr w:type="spellStart"/>
      <w:r w:rsidRPr="00512CDF">
        <w:rPr>
          <w:szCs w:val="14"/>
        </w:rPr>
        <w:t>IGP</w:t>
      </w:r>
      <w:r>
        <w:rPr>
          <w:szCs w:val="14"/>
        </w:rPr>
        <w:t>Decaux</w:t>
      </w:r>
      <w:proofErr w:type="spellEnd"/>
      <w:r w:rsidRPr="00512CDF">
        <w:rPr>
          <w:szCs w:val="14"/>
        </w:rPr>
        <w:t xml:space="preserve"> e Gruppo </w:t>
      </w:r>
      <w:proofErr w:type="spellStart"/>
      <w:r w:rsidRPr="00512CDF">
        <w:rPr>
          <w:szCs w:val="14"/>
        </w:rPr>
        <w:t>Finelco</w:t>
      </w:r>
      <w:proofErr w:type="spellEnd"/>
      <w:r w:rsidRPr="00512CDF">
        <w:rPr>
          <w:szCs w:val="14"/>
        </w:rPr>
        <w:t xml:space="preserve">, </w:t>
      </w:r>
      <w:r>
        <w:rPr>
          <w:szCs w:val="14"/>
        </w:rPr>
        <w:t xml:space="preserve">classificate tra </w:t>
      </w:r>
      <w:proofErr w:type="gramStart"/>
      <w:r>
        <w:rPr>
          <w:szCs w:val="14"/>
        </w:rPr>
        <w:t xml:space="preserve">le </w:t>
      </w:r>
      <w:r w:rsidRPr="00512CDF">
        <w:rPr>
          <w:szCs w:val="14"/>
        </w:rPr>
        <w:t xml:space="preserve"> attività</w:t>
      </w:r>
      <w:proofErr w:type="gramEnd"/>
      <w:r w:rsidRPr="00512CDF">
        <w:rPr>
          <w:szCs w:val="14"/>
        </w:rPr>
        <w:t xml:space="preserve"> destinate alla </w:t>
      </w:r>
      <w:r>
        <w:rPr>
          <w:szCs w:val="14"/>
        </w:rPr>
        <w:t xml:space="preserve">dismissione e dismesse </w:t>
      </w:r>
      <w:r w:rsidRPr="00512CDF">
        <w:rPr>
          <w:szCs w:val="14"/>
        </w:rPr>
        <w:t xml:space="preserve">a partire da fine esercizio 2014. </w:t>
      </w:r>
    </w:p>
    <w:p w:rsidR="00B66CEC" w:rsidRDefault="00B66CEC" w:rsidP="00B66CEC">
      <w:pPr>
        <w:widowControl/>
        <w:suppressAutoHyphens w:val="0"/>
        <w:spacing w:after="200" w:line="276" w:lineRule="auto"/>
      </w:pPr>
      <w:r>
        <w:br w:type="page"/>
      </w:r>
    </w:p>
    <w:p w:rsidR="00B66CEC" w:rsidRPr="00A95199" w:rsidRDefault="00B66CEC" w:rsidP="00B66CEC">
      <w:pPr>
        <w:pStyle w:val="note"/>
        <w:rPr>
          <w:b/>
          <w:sz w:val="22"/>
        </w:rPr>
      </w:pPr>
      <w:r w:rsidRPr="00A95199">
        <w:rPr>
          <w:b/>
          <w:sz w:val="22"/>
        </w:rPr>
        <w:lastRenderedPageBreak/>
        <w:t xml:space="preserve">Gruppo RCS </w:t>
      </w:r>
      <w:proofErr w:type="spellStart"/>
      <w:r w:rsidRPr="00A95199">
        <w:rPr>
          <w:b/>
          <w:sz w:val="22"/>
        </w:rPr>
        <w:t>MediaGroup</w:t>
      </w:r>
      <w:proofErr w:type="spellEnd"/>
      <w:r w:rsidRPr="00A95199">
        <w:rPr>
          <w:b/>
          <w:sz w:val="22"/>
        </w:rPr>
        <w:t xml:space="preserve"> </w:t>
      </w:r>
    </w:p>
    <w:p w:rsidR="00B66CEC" w:rsidRDefault="00B66CEC" w:rsidP="00B66CEC">
      <w:pPr>
        <w:keepNext/>
        <w:outlineLvl w:val="2"/>
        <w:rPr>
          <w:b/>
          <w:sz w:val="22"/>
          <w:szCs w:val="22"/>
        </w:rPr>
      </w:pPr>
      <w:r w:rsidRPr="00A95199">
        <w:rPr>
          <w:b/>
          <w:sz w:val="22"/>
          <w:szCs w:val="22"/>
        </w:rPr>
        <w:t>Stato patrimoniale consolidato riclassificato</w:t>
      </w:r>
    </w:p>
    <w:p w:rsidR="00B66CEC" w:rsidRPr="00F62784" w:rsidRDefault="00B66CEC" w:rsidP="00B66CEC">
      <w:pPr>
        <w:keepNext/>
        <w:outlineLvl w:val="2"/>
        <w:rPr>
          <w:sz w:val="18"/>
          <w:szCs w:val="18"/>
        </w:rPr>
      </w:pPr>
      <w:r w:rsidRPr="00F62784">
        <w:rPr>
          <w:sz w:val="18"/>
          <w:szCs w:val="18"/>
        </w:rPr>
        <w:t>(</w:t>
      </w:r>
      <w:proofErr w:type="gramStart"/>
      <w:r w:rsidRPr="00F62784">
        <w:rPr>
          <w:sz w:val="18"/>
          <w:szCs w:val="18"/>
        </w:rPr>
        <w:t>tabelle</w:t>
      </w:r>
      <w:proofErr w:type="gramEnd"/>
      <w:r w:rsidRPr="00F62784">
        <w:rPr>
          <w:sz w:val="18"/>
          <w:szCs w:val="18"/>
        </w:rPr>
        <w:t xml:space="preserve"> non assoggettate a revisione contabile)</w:t>
      </w:r>
    </w:p>
    <w:p w:rsidR="00B66CEC" w:rsidRDefault="00B66CEC" w:rsidP="00B66CEC"/>
    <w:tbl>
      <w:tblPr>
        <w:tblW w:w="9380" w:type="dxa"/>
        <w:tblInd w:w="55" w:type="dxa"/>
        <w:tblCellMar>
          <w:left w:w="70" w:type="dxa"/>
          <w:right w:w="70" w:type="dxa"/>
        </w:tblCellMar>
        <w:tblLook w:val="04A0" w:firstRow="1" w:lastRow="0" w:firstColumn="1" w:lastColumn="0" w:noHBand="0" w:noVBand="1"/>
      </w:tblPr>
      <w:tblGrid>
        <w:gridCol w:w="4420"/>
        <w:gridCol w:w="1660"/>
        <w:gridCol w:w="820"/>
        <w:gridCol w:w="1660"/>
        <w:gridCol w:w="820"/>
      </w:tblGrid>
      <w:tr w:rsidR="00923BDC" w:rsidRPr="00923BDC" w:rsidTr="00923BDC">
        <w:trPr>
          <w:trHeight w:val="900"/>
        </w:trPr>
        <w:tc>
          <w:tcPr>
            <w:tcW w:w="4420" w:type="dxa"/>
            <w:tcBorders>
              <w:top w:val="single" w:sz="4" w:space="0" w:color="auto"/>
              <w:left w:val="nil"/>
              <w:bottom w:val="nil"/>
              <w:right w:val="nil"/>
            </w:tcBorders>
            <w:shd w:val="clear" w:color="000000" w:fill="FFFFFF"/>
            <w:hideMark/>
          </w:tcPr>
          <w:p w:rsidR="00923BDC" w:rsidRPr="00923BDC" w:rsidRDefault="00923BDC" w:rsidP="00923BDC">
            <w:pPr>
              <w:widowControl/>
              <w:suppressAutoHyphens w:val="0"/>
              <w:rPr>
                <w:sz w:val="16"/>
                <w:szCs w:val="16"/>
                <w:lang w:eastAsia="it-IT"/>
              </w:rPr>
            </w:pPr>
            <w:bookmarkStart w:id="3" w:name="RANGE!A2:F28"/>
            <w:r w:rsidRPr="00923BDC">
              <w:rPr>
                <w:sz w:val="16"/>
                <w:szCs w:val="16"/>
                <w:lang w:eastAsia="it-IT"/>
              </w:rPr>
              <w:t>(</w:t>
            </w:r>
            <w:proofErr w:type="gramStart"/>
            <w:r w:rsidRPr="00923BDC">
              <w:rPr>
                <w:sz w:val="16"/>
                <w:szCs w:val="16"/>
                <w:lang w:eastAsia="it-IT"/>
              </w:rPr>
              <w:t>in</w:t>
            </w:r>
            <w:proofErr w:type="gramEnd"/>
            <w:r w:rsidRPr="00923BDC">
              <w:rPr>
                <w:sz w:val="16"/>
                <w:szCs w:val="16"/>
                <w:lang w:eastAsia="it-IT"/>
              </w:rPr>
              <w:t xml:space="preserve"> milioni di euro)</w:t>
            </w:r>
            <w:bookmarkEnd w:id="3"/>
          </w:p>
        </w:tc>
        <w:tc>
          <w:tcPr>
            <w:tcW w:w="1660" w:type="dxa"/>
            <w:tcBorders>
              <w:top w:val="single" w:sz="4" w:space="0" w:color="auto"/>
              <w:left w:val="nil"/>
              <w:bottom w:val="nil"/>
              <w:right w:val="nil"/>
            </w:tcBorders>
            <w:shd w:val="clear" w:color="000000" w:fill="FFFFFF"/>
            <w:noWrap/>
            <w:hideMark/>
          </w:tcPr>
          <w:p w:rsidR="00923BDC" w:rsidRPr="00923BDC" w:rsidRDefault="00923BDC" w:rsidP="00923BDC">
            <w:pPr>
              <w:widowControl/>
              <w:suppressAutoHyphens w:val="0"/>
              <w:jc w:val="center"/>
              <w:rPr>
                <w:b/>
                <w:bCs/>
                <w:sz w:val="16"/>
                <w:szCs w:val="16"/>
                <w:lang w:eastAsia="it-IT"/>
              </w:rPr>
            </w:pPr>
            <w:r w:rsidRPr="00923BDC">
              <w:rPr>
                <w:b/>
                <w:bCs/>
                <w:sz w:val="16"/>
                <w:szCs w:val="16"/>
                <w:lang w:eastAsia="it-IT"/>
              </w:rPr>
              <w:t>31 marzo 2015</w:t>
            </w:r>
          </w:p>
        </w:tc>
        <w:tc>
          <w:tcPr>
            <w:tcW w:w="820" w:type="dxa"/>
            <w:tcBorders>
              <w:top w:val="single" w:sz="4" w:space="0" w:color="auto"/>
              <w:left w:val="nil"/>
              <w:bottom w:val="nil"/>
              <w:right w:val="nil"/>
            </w:tcBorders>
            <w:shd w:val="clear" w:color="000000" w:fill="FFFFFF"/>
            <w:noWrap/>
            <w:hideMark/>
          </w:tcPr>
          <w:p w:rsidR="00923BDC" w:rsidRPr="00923BDC" w:rsidRDefault="00923BDC" w:rsidP="00923BDC">
            <w:pPr>
              <w:widowControl/>
              <w:suppressAutoHyphens w:val="0"/>
              <w:jc w:val="center"/>
              <w:rPr>
                <w:b/>
                <w:bCs/>
                <w:sz w:val="16"/>
                <w:szCs w:val="16"/>
                <w:lang w:eastAsia="it-IT"/>
              </w:rPr>
            </w:pPr>
            <w:r w:rsidRPr="00923BDC">
              <w:rPr>
                <w:b/>
                <w:bCs/>
                <w:sz w:val="16"/>
                <w:szCs w:val="16"/>
                <w:lang w:eastAsia="it-IT"/>
              </w:rPr>
              <w:t>%</w:t>
            </w:r>
          </w:p>
        </w:tc>
        <w:tc>
          <w:tcPr>
            <w:tcW w:w="1660" w:type="dxa"/>
            <w:tcBorders>
              <w:top w:val="single" w:sz="4" w:space="0" w:color="auto"/>
              <w:left w:val="nil"/>
              <w:bottom w:val="nil"/>
              <w:right w:val="nil"/>
            </w:tcBorders>
            <w:shd w:val="clear" w:color="000000" w:fill="FFFFFF"/>
            <w:hideMark/>
          </w:tcPr>
          <w:p w:rsidR="00923BDC" w:rsidRPr="00923BDC" w:rsidRDefault="00923BDC" w:rsidP="00923BDC">
            <w:pPr>
              <w:widowControl/>
              <w:suppressAutoHyphens w:val="0"/>
              <w:jc w:val="center"/>
              <w:rPr>
                <w:b/>
                <w:bCs/>
                <w:sz w:val="16"/>
                <w:szCs w:val="16"/>
                <w:lang w:eastAsia="it-IT"/>
              </w:rPr>
            </w:pPr>
            <w:r w:rsidRPr="00923BDC">
              <w:rPr>
                <w:b/>
                <w:bCs/>
                <w:sz w:val="16"/>
                <w:szCs w:val="16"/>
                <w:lang w:eastAsia="it-IT"/>
              </w:rPr>
              <w:t xml:space="preserve">31 Dicembre 2014    </w:t>
            </w:r>
          </w:p>
        </w:tc>
        <w:tc>
          <w:tcPr>
            <w:tcW w:w="820" w:type="dxa"/>
            <w:tcBorders>
              <w:top w:val="single" w:sz="4" w:space="0" w:color="auto"/>
              <w:left w:val="nil"/>
              <w:bottom w:val="nil"/>
              <w:right w:val="nil"/>
            </w:tcBorders>
            <w:shd w:val="clear" w:color="000000" w:fill="FFFFFF"/>
            <w:noWrap/>
            <w:hideMark/>
          </w:tcPr>
          <w:p w:rsidR="00923BDC" w:rsidRPr="00923BDC" w:rsidRDefault="00923BDC" w:rsidP="00923BDC">
            <w:pPr>
              <w:widowControl/>
              <w:suppressAutoHyphens w:val="0"/>
              <w:jc w:val="center"/>
              <w:rPr>
                <w:b/>
                <w:bCs/>
                <w:sz w:val="16"/>
                <w:szCs w:val="16"/>
                <w:lang w:eastAsia="it-IT"/>
              </w:rPr>
            </w:pPr>
            <w:r w:rsidRPr="00923BDC">
              <w:rPr>
                <w:b/>
                <w:bCs/>
                <w:sz w:val="16"/>
                <w:szCs w:val="16"/>
                <w:lang w:eastAsia="it-IT"/>
              </w:rPr>
              <w:t>%</w:t>
            </w:r>
          </w:p>
        </w:tc>
      </w:tr>
      <w:tr w:rsidR="00923BDC" w:rsidRPr="00923BDC" w:rsidTr="00923BDC">
        <w:trPr>
          <w:trHeight w:val="255"/>
        </w:trPr>
        <w:tc>
          <w:tcPr>
            <w:tcW w:w="4420" w:type="dxa"/>
            <w:tcBorders>
              <w:top w:val="single" w:sz="4" w:space="0" w:color="auto"/>
              <w:left w:val="nil"/>
              <w:bottom w:val="nil"/>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 xml:space="preserve">Immobilizzazioni Immateriali </w:t>
            </w:r>
          </w:p>
        </w:tc>
        <w:tc>
          <w:tcPr>
            <w:tcW w:w="1660" w:type="dxa"/>
            <w:tcBorders>
              <w:top w:val="single" w:sz="4" w:space="0" w:color="auto"/>
              <w:left w:val="nil"/>
              <w:bottom w:val="nil"/>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511,9</w:t>
            </w:r>
          </w:p>
        </w:tc>
        <w:tc>
          <w:tcPr>
            <w:tcW w:w="820" w:type="dxa"/>
            <w:tcBorders>
              <w:top w:val="single" w:sz="4" w:space="0" w:color="auto"/>
              <w:left w:val="nil"/>
              <w:bottom w:val="nil"/>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68,3</w:t>
            </w:r>
          </w:p>
        </w:tc>
        <w:tc>
          <w:tcPr>
            <w:tcW w:w="1660" w:type="dxa"/>
            <w:tcBorders>
              <w:top w:val="single" w:sz="4" w:space="0" w:color="auto"/>
              <w:left w:val="nil"/>
              <w:bottom w:val="nil"/>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508,8</w:t>
            </w:r>
          </w:p>
        </w:tc>
        <w:tc>
          <w:tcPr>
            <w:tcW w:w="820" w:type="dxa"/>
            <w:tcBorders>
              <w:top w:val="single" w:sz="4" w:space="0" w:color="auto"/>
              <w:left w:val="nil"/>
              <w:bottom w:val="nil"/>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67,3</w:t>
            </w:r>
          </w:p>
        </w:tc>
      </w:tr>
      <w:tr w:rsidR="00923BDC" w:rsidRPr="00923BDC" w:rsidTr="00923BDC">
        <w:trPr>
          <w:trHeight w:val="255"/>
        </w:trPr>
        <w:tc>
          <w:tcPr>
            <w:tcW w:w="4420" w:type="dxa"/>
            <w:tcBorders>
              <w:top w:val="single" w:sz="4" w:space="0" w:color="auto"/>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 xml:space="preserve">Immobilizzazioni Materiali </w:t>
            </w:r>
          </w:p>
        </w:tc>
        <w:tc>
          <w:tcPr>
            <w:tcW w:w="166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115,4</w:t>
            </w:r>
          </w:p>
        </w:tc>
        <w:tc>
          <w:tcPr>
            <w:tcW w:w="82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15,4</w:t>
            </w:r>
          </w:p>
        </w:tc>
        <w:tc>
          <w:tcPr>
            <w:tcW w:w="166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118,7</w:t>
            </w:r>
          </w:p>
        </w:tc>
        <w:tc>
          <w:tcPr>
            <w:tcW w:w="82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15,7</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Investimenti Immobiliari</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24,7</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3,3</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24,9</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3,3</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 xml:space="preserve">Immobilizzazioni Finanziarie </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238,6</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31,8</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225,8</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29,9</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b/>
                <w:bCs/>
                <w:color w:val="000000"/>
                <w:sz w:val="16"/>
                <w:szCs w:val="16"/>
                <w:lang w:eastAsia="it-IT"/>
              </w:rPr>
            </w:pPr>
            <w:r w:rsidRPr="00923BDC">
              <w:rPr>
                <w:b/>
                <w:bCs/>
                <w:color w:val="000000"/>
                <w:sz w:val="16"/>
                <w:szCs w:val="16"/>
                <w:lang w:eastAsia="it-IT"/>
              </w:rPr>
              <w:t xml:space="preserve">Attivo Immobilizzato Netto </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890,6</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118,7</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878,2</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116,2</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Rimanenze</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90,6</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12,1</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78,8</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10,4</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 xml:space="preserve">Crediti commerciali </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321,4</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42,9</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392,6</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52,0</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 xml:space="preserve">Debiti commerciali </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(377,1)</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(50,3)</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(395,2)</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(52,3)</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 xml:space="preserve">Altre attività/passività </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(7,5)</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(1,0)</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(22,8)</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(3,0)</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b/>
                <w:bCs/>
                <w:color w:val="000000"/>
                <w:sz w:val="16"/>
                <w:szCs w:val="16"/>
                <w:lang w:eastAsia="it-IT"/>
              </w:rPr>
            </w:pPr>
            <w:r w:rsidRPr="00923BDC">
              <w:rPr>
                <w:b/>
                <w:bCs/>
                <w:color w:val="000000"/>
                <w:sz w:val="16"/>
                <w:szCs w:val="16"/>
                <w:lang w:eastAsia="it-IT"/>
              </w:rPr>
              <w:t xml:space="preserve">Capitale d'Esercizio </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27,4</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3,7</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53,4</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7,1</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 xml:space="preserve">Fondi per rischi e oneri </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(77,3)</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(10,3)</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(83,7)</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(11,1)</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Passività per imposte differite</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(75,5)</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(10,1)</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(75,6)</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(10,0)</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Benefici relativi al personale</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(52,1)</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(6,9)</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(53,7)</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(7,1)</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b/>
                <w:bCs/>
                <w:color w:val="000000"/>
                <w:sz w:val="16"/>
                <w:szCs w:val="16"/>
                <w:lang w:eastAsia="it-IT"/>
              </w:rPr>
            </w:pPr>
            <w:r w:rsidRPr="00923BDC">
              <w:rPr>
                <w:b/>
                <w:bCs/>
                <w:color w:val="000000"/>
                <w:sz w:val="16"/>
                <w:szCs w:val="16"/>
                <w:lang w:eastAsia="it-IT"/>
              </w:rPr>
              <w:t>Capitale Investito Netto Operativo</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713,1</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95,1</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718,6</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95,1</w:t>
            </w:r>
          </w:p>
        </w:tc>
      </w:tr>
      <w:tr w:rsidR="00923BDC" w:rsidRPr="00923BDC" w:rsidTr="00923BDC">
        <w:trPr>
          <w:trHeight w:val="255"/>
        </w:trPr>
        <w:tc>
          <w:tcPr>
            <w:tcW w:w="4420" w:type="dxa"/>
            <w:tcBorders>
              <w:top w:val="nil"/>
              <w:left w:val="nil"/>
              <w:bottom w:val="nil"/>
              <w:right w:val="nil"/>
            </w:tcBorders>
            <w:shd w:val="clear" w:color="000000" w:fill="FFFFFF"/>
            <w:noWrap/>
            <w:hideMark/>
          </w:tcPr>
          <w:p w:rsidR="00923BDC" w:rsidRPr="00923BDC" w:rsidRDefault="00923BDC" w:rsidP="00923BDC">
            <w:pPr>
              <w:widowControl/>
              <w:suppressAutoHyphens w:val="0"/>
              <w:rPr>
                <w:b/>
                <w:bCs/>
                <w:color w:val="000000"/>
                <w:sz w:val="16"/>
                <w:szCs w:val="16"/>
                <w:lang w:eastAsia="it-IT"/>
              </w:rPr>
            </w:pPr>
            <w:r w:rsidRPr="00923BDC">
              <w:rPr>
                <w:b/>
                <w:bCs/>
                <w:color w:val="000000"/>
                <w:sz w:val="16"/>
                <w:szCs w:val="16"/>
                <w:lang w:eastAsia="it-IT"/>
              </w:rPr>
              <w:t>CIN attività destinate alla dismissione</w:t>
            </w:r>
          </w:p>
        </w:tc>
        <w:tc>
          <w:tcPr>
            <w:tcW w:w="166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36,9</w:t>
            </w:r>
          </w:p>
        </w:tc>
        <w:tc>
          <w:tcPr>
            <w:tcW w:w="82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4,9</w:t>
            </w:r>
          </w:p>
        </w:tc>
        <w:tc>
          <w:tcPr>
            <w:tcW w:w="166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36,9</w:t>
            </w:r>
          </w:p>
        </w:tc>
        <w:tc>
          <w:tcPr>
            <w:tcW w:w="82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4,9</w:t>
            </w:r>
          </w:p>
        </w:tc>
      </w:tr>
      <w:tr w:rsidR="00923BDC" w:rsidRPr="00923BDC" w:rsidTr="00923BDC">
        <w:trPr>
          <w:trHeight w:val="255"/>
        </w:trPr>
        <w:tc>
          <w:tcPr>
            <w:tcW w:w="4420" w:type="dxa"/>
            <w:tcBorders>
              <w:top w:val="single" w:sz="4" w:space="0" w:color="auto"/>
              <w:left w:val="nil"/>
              <w:bottom w:val="single" w:sz="4" w:space="0" w:color="auto"/>
              <w:right w:val="nil"/>
            </w:tcBorders>
            <w:shd w:val="clear" w:color="000000" w:fill="FFFFFF"/>
            <w:noWrap/>
            <w:hideMark/>
          </w:tcPr>
          <w:p w:rsidR="00923BDC" w:rsidRPr="00923BDC" w:rsidRDefault="00923BDC" w:rsidP="00923BDC">
            <w:pPr>
              <w:widowControl/>
              <w:suppressAutoHyphens w:val="0"/>
              <w:rPr>
                <w:b/>
                <w:bCs/>
                <w:color w:val="000000"/>
                <w:sz w:val="16"/>
                <w:szCs w:val="16"/>
                <w:lang w:eastAsia="it-IT"/>
              </w:rPr>
            </w:pPr>
            <w:r w:rsidRPr="00923BDC">
              <w:rPr>
                <w:b/>
                <w:bCs/>
                <w:color w:val="000000"/>
                <w:sz w:val="16"/>
                <w:szCs w:val="16"/>
                <w:lang w:eastAsia="it-IT"/>
              </w:rPr>
              <w:t>Capitale investito netto</w:t>
            </w:r>
          </w:p>
        </w:tc>
        <w:tc>
          <w:tcPr>
            <w:tcW w:w="166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750,0</w:t>
            </w:r>
          </w:p>
        </w:tc>
        <w:tc>
          <w:tcPr>
            <w:tcW w:w="82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100,0</w:t>
            </w:r>
          </w:p>
        </w:tc>
        <w:tc>
          <w:tcPr>
            <w:tcW w:w="166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755,5</w:t>
            </w:r>
          </w:p>
        </w:tc>
        <w:tc>
          <w:tcPr>
            <w:tcW w:w="82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100,0</w:t>
            </w:r>
          </w:p>
        </w:tc>
      </w:tr>
      <w:tr w:rsidR="00923BDC" w:rsidRPr="00923BDC" w:rsidTr="00923BDC">
        <w:trPr>
          <w:trHeight w:val="255"/>
        </w:trPr>
        <w:tc>
          <w:tcPr>
            <w:tcW w:w="4420" w:type="dxa"/>
            <w:tcBorders>
              <w:top w:val="single" w:sz="4" w:space="0" w:color="auto"/>
              <w:left w:val="nil"/>
              <w:bottom w:val="single" w:sz="4" w:space="0" w:color="auto"/>
              <w:right w:val="nil"/>
            </w:tcBorders>
            <w:shd w:val="clear" w:color="000000" w:fill="FFFFFF"/>
            <w:noWrap/>
            <w:hideMark/>
          </w:tcPr>
          <w:p w:rsidR="00923BDC" w:rsidRPr="00923BDC" w:rsidRDefault="00923BDC" w:rsidP="00923BDC">
            <w:pPr>
              <w:widowControl/>
              <w:suppressAutoHyphens w:val="0"/>
              <w:rPr>
                <w:b/>
                <w:bCs/>
                <w:color w:val="000000"/>
                <w:sz w:val="16"/>
                <w:szCs w:val="16"/>
                <w:lang w:eastAsia="it-IT"/>
              </w:rPr>
            </w:pPr>
            <w:r w:rsidRPr="00923BDC">
              <w:rPr>
                <w:b/>
                <w:bCs/>
                <w:color w:val="000000"/>
                <w:sz w:val="16"/>
                <w:szCs w:val="16"/>
                <w:lang w:eastAsia="it-IT"/>
              </w:rPr>
              <w:t>Patrimonio netto</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242,5</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32,3</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273,0</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36,1</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 xml:space="preserve">Debiti finanziari a medio lungo termine </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432,6</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57,7</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393,8</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52,1</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 xml:space="preserve">Debiti finanziari a breve termine </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75,2</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10,0</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97,7</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12,9</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Passività finanziarie non correnti per strumenti derivati</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15,5</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2,1</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16,5</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2,2</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Attività finanziarie non correnti per strumenti derivati</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 xml:space="preserve">Disponibilità e crediti finanziari a breve termine </w:t>
            </w:r>
          </w:p>
        </w:tc>
        <w:tc>
          <w:tcPr>
            <w:tcW w:w="166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(15,8)</w:t>
            </w:r>
          </w:p>
        </w:tc>
        <w:tc>
          <w:tcPr>
            <w:tcW w:w="82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(2,1)</w:t>
            </w:r>
          </w:p>
        </w:tc>
        <w:tc>
          <w:tcPr>
            <w:tcW w:w="166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(25,5)</w:t>
            </w:r>
          </w:p>
        </w:tc>
        <w:tc>
          <w:tcPr>
            <w:tcW w:w="82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color w:val="000000"/>
                <w:sz w:val="16"/>
                <w:szCs w:val="16"/>
                <w:lang w:eastAsia="it-IT"/>
              </w:rPr>
            </w:pPr>
            <w:r w:rsidRPr="00923BDC">
              <w:rPr>
                <w:color w:val="000000"/>
                <w:sz w:val="16"/>
                <w:szCs w:val="16"/>
                <w:lang w:eastAsia="it-IT"/>
              </w:rPr>
              <w:t>(3,4)</w:t>
            </w:r>
          </w:p>
        </w:tc>
      </w:tr>
      <w:tr w:rsidR="00923BDC" w:rsidRPr="00923BDC" w:rsidTr="00923BDC">
        <w:trPr>
          <w:trHeight w:val="255"/>
        </w:trPr>
        <w:tc>
          <w:tcPr>
            <w:tcW w:w="4420" w:type="dxa"/>
            <w:tcBorders>
              <w:top w:val="single" w:sz="4" w:space="0" w:color="auto"/>
              <w:left w:val="nil"/>
              <w:bottom w:val="single" w:sz="4" w:space="0" w:color="auto"/>
              <w:right w:val="nil"/>
            </w:tcBorders>
            <w:shd w:val="clear" w:color="000000" w:fill="FFFFFF"/>
            <w:noWrap/>
            <w:hideMark/>
          </w:tcPr>
          <w:p w:rsidR="00923BDC" w:rsidRPr="00923BDC" w:rsidRDefault="00923BDC" w:rsidP="00923BDC">
            <w:pPr>
              <w:widowControl/>
              <w:suppressAutoHyphens w:val="0"/>
              <w:rPr>
                <w:b/>
                <w:bCs/>
                <w:color w:val="000000"/>
                <w:sz w:val="16"/>
                <w:szCs w:val="16"/>
                <w:lang w:eastAsia="it-IT"/>
              </w:rPr>
            </w:pPr>
            <w:r w:rsidRPr="00923BDC">
              <w:rPr>
                <w:b/>
                <w:bCs/>
                <w:color w:val="000000"/>
                <w:sz w:val="16"/>
                <w:szCs w:val="16"/>
                <w:lang w:eastAsia="it-IT"/>
              </w:rPr>
              <w:t>Indebitamento finanziario netto (1)</w:t>
            </w:r>
          </w:p>
        </w:tc>
        <w:tc>
          <w:tcPr>
            <w:tcW w:w="166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507,5</w:t>
            </w:r>
          </w:p>
        </w:tc>
        <w:tc>
          <w:tcPr>
            <w:tcW w:w="82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67,7</w:t>
            </w:r>
          </w:p>
        </w:tc>
        <w:tc>
          <w:tcPr>
            <w:tcW w:w="166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482,5</w:t>
            </w:r>
          </w:p>
        </w:tc>
        <w:tc>
          <w:tcPr>
            <w:tcW w:w="82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63,9</w:t>
            </w:r>
          </w:p>
        </w:tc>
      </w:tr>
      <w:tr w:rsidR="00923BDC" w:rsidRPr="00923BDC" w:rsidTr="00923BDC">
        <w:trPr>
          <w:trHeight w:val="255"/>
        </w:trPr>
        <w:tc>
          <w:tcPr>
            <w:tcW w:w="4420" w:type="dxa"/>
            <w:tcBorders>
              <w:top w:val="nil"/>
              <w:left w:val="nil"/>
              <w:bottom w:val="single" w:sz="4" w:space="0" w:color="auto"/>
              <w:right w:val="nil"/>
            </w:tcBorders>
            <w:shd w:val="clear" w:color="000000" w:fill="FFFFFF"/>
            <w:noWrap/>
            <w:hideMark/>
          </w:tcPr>
          <w:p w:rsidR="00923BDC" w:rsidRPr="00923BDC" w:rsidRDefault="00923BDC" w:rsidP="00923BDC">
            <w:pPr>
              <w:widowControl/>
              <w:suppressAutoHyphens w:val="0"/>
              <w:rPr>
                <w:b/>
                <w:bCs/>
                <w:color w:val="000000"/>
                <w:sz w:val="16"/>
                <w:szCs w:val="16"/>
                <w:lang w:eastAsia="it-IT"/>
              </w:rPr>
            </w:pPr>
            <w:r w:rsidRPr="00923BDC">
              <w:rPr>
                <w:b/>
                <w:bCs/>
                <w:color w:val="000000"/>
                <w:sz w:val="16"/>
                <w:szCs w:val="16"/>
                <w:lang w:eastAsia="it-IT"/>
              </w:rPr>
              <w:t xml:space="preserve">Totale fonti di finanziamento </w:t>
            </w:r>
          </w:p>
        </w:tc>
        <w:tc>
          <w:tcPr>
            <w:tcW w:w="16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750,0</w:t>
            </w:r>
          </w:p>
        </w:tc>
        <w:tc>
          <w:tcPr>
            <w:tcW w:w="82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100,0</w:t>
            </w:r>
          </w:p>
        </w:tc>
        <w:tc>
          <w:tcPr>
            <w:tcW w:w="166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755,5</w:t>
            </w:r>
          </w:p>
        </w:tc>
        <w:tc>
          <w:tcPr>
            <w:tcW w:w="82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color w:val="000000"/>
                <w:sz w:val="16"/>
                <w:szCs w:val="16"/>
                <w:lang w:eastAsia="it-IT"/>
              </w:rPr>
            </w:pPr>
            <w:r w:rsidRPr="00923BDC">
              <w:rPr>
                <w:b/>
                <w:bCs/>
                <w:color w:val="000000"/>
                <w:sz w:val="16"/>
                <w:szCs w:val="16"/>
                <w:lang w:eastAsia="it-IT"/>
              </w:rPr>
              <w:t>100,0</w:t>
            </w:r>
          </w:p>
        </w:tc>
      </w:tr>
    </w:tbl>
    <w:p w:rsidR="00B66CEC" w:rsidRDefault="00B66CEC" w:rsidP="00B66CEC"/>
    <w:p w:rsidR="00B66CEC" w:rsidRDefault="00B66CEC" w:rsidP="00B66CEC"/>
    <w:p w:rsidR="00B66CEC" w:rsidRPr="00CF369C" w:rsidRDefault="00B66CEC" w:rsidP="00B66CEC">
      <w:pPr>
        <w:pStyle w:val="note"/>
        <w:tabs>
          <w:tab w:val="left" w:pos="9720"/>
        </w:tabs>
      </w:pPr>
      <w:r w:rsidRPr="00CF369C">
        <w:t xml:space="preserve">(1) Indicatore della struttura finanziaria determinato quale risultante dei debiti finanziari correnti e non correnti al netto delle disponibilità liquide e mezzi equivalenti nonché delle attività finanziarie correnti e delle attività finanziarie non correnti relative agli strumenti derivati. La posizione finanziaria netta definita dalla comunicazione CONSOB DEM/6064293 del 28 luglio 2006 esclude le attività finanziarie non correnti. Le attività finanziarie non correnti al 31 marzo 2015 e al 31 dicembre 2014 sono pari a zero e pertanto l’indicatore finanziario di RCS al 31 marzo 2015 e al 31 dicembre 2014, coincide con la posizione finanziaria netta così come definita dalla sopra citata comunicazione CONSOB. </w:t>
      </w:r>
    </w:p>
    <w:p w:rsidR="00B66CEC" w:rsidRDefault="00B66CEC" w:rsidP="00B66CEC">
      <w:pPr>
        <w:widowControl/>
        <w:suppressAutoHyphens w:val="0"/>
        <w:spacing w:after="200" w:line="276" w:lineRule="auto"/>
      </w:pPr>
      <w:r>
        <w:br w:type="page"/>
      </w:r>
    </w:p>
    <w:p w:rsidR="00B66CEC" w:rsidRPr="00A95199" w:rsidRDefault="00B66CEC" w:rsidP="00B66CEC">
      <w:pPr>
        <w:rPr>
          <w:b/>
          <w:sz w:val="22"/>
          <w:szCs w:val="22"/>
        </w:rPr>
      </w:pPr>
      <w:r w:rsidRPr="00A95199">
        <w:rPr>
          <w:b/>
          <w:sz w:val="22"/>
          <w:szCs w:val="22"/>
        </w:rPr>
        <w:lastRenderedPageBreak/>
        <w:t xml:space="preserve">Gruppo RCS </w:t>
      </w:r>
      <w:proofErr w:type="spellStart"/>
      <w:r w:rsidRPr="00A95199">
        <w:rPr>
          <w:b/>
          <w:sz w:val="22"/>
          <w:szCs w:val="22"/>
        </w:rPr>
        <w:t>MediaGroup</w:t>
      </w:r>
      <w:proofErr w:type="spellEnd"/>
    </w:p>
    <w:p w:rsidR="00B66CEC" w:rsidRDefault="00B66CEC" w:rsidP="00B66CEC">
      <w:pPr>
        <w:rPr>
          <w:b/>
          <w:sz w:val="22"/>
          <w:szCs w:val="22"/>
        </w:rPr>
      </w:pPr>
      <w:r w:rsidRPr="00A95199">
        <w:rPr>
          <w:b/>
          <w:sz w:val="22"/>
          <w:szCs w:val="22"/>
        </w:rPr>
        <w:t xml:space="preserve">Ripartizione ricavi per settori di Business </w:t>
      </w:r>
    </w:p>
    <w:p w:rsidR="00B66CEC" w:rsidRDefault="00B66CEC" w:rsidP="00B66CEC">
      <w:pPr>
        <w:rPr>
          <w:sz w:val="18"/>
          <w:szCs w:val="18"/>
        </w:rPr>
      </w:pPr>
      <w:r w:rsidRPr="00BF608E">
        <w:rPr>
          <w:sz w:val="18"/>
          <w:szCs w:val="18"/>
        </w:rPr>
        <w:t>(</w:t>
      </w:r>
      <w:proofErr w:type="gramStart"/>
      <w:r w:rsidRPr="00BF608E">
        <w:rPr>
          <w:sz w:val="18"/>
          <w:szCs w:val="18"/>
        </w:rPr>
        <w:t>tabelle</w:t>
      </w:r>
      <w:proofErr w:type="gramEnd"/>
      <w:r w:rsidRPr="00BF608E">
        <w:rPr>
          <w:sz w:val="18"/>
          <w:szCs w:val="18"/>
        </w:rPr>
        <w:t xml:space="preserve"> non assoggettate a revisione contabile)</w:t>
      </w:r>
    </w:p>
    <w:p w:rsidR="00B66CEC" w:rsidRDefault="00B66CEC" w:rsidP="00B66CEC">
      <w:pPr>
        <w:rPr>
          <w:sz w:val="18"/>
          <w:szCs w:val="18"/>
        </w:rPr>
      </w:pPr>
    </w:p>
    <w:p w:rsidR="00B66CEC" w:rsidRPr="00A95199" w:rsidRDefault="00B66CEC" w:rsidP="00B66CEC">
      <w:pPr>
        <w:rPr>
          <w:b/>
          <w:sz w:val="22"/>
          <w:szCs w:val="22"/>
        </w:rPr>
      </w:pPr>
    </w:p>
    <w:p w:rsidR="00B66CEC" w:rsidRDefault="00B66CEC" w:rsidP="00B66CEC"/>
    <w:tbl>
      <w:tblPr>
        <w:tblW w:w="9620" w:type="dxa"/>
        <w:tblInd w:w="55" w:type="dxa"/>
        <w:tblCellMar>
          <w:left w:w="70" w:type="dxa"/>
          <w:right w:w="70" w:type="dxa"/>
        </w:tblCellMar>
        <w:tblLook w:val="04A0" w:firstRow="1" w:lastRow="0" w:firstColumn="1" w:lastColumn="0" w:noHBand="0" w:noVBand="1"/>
      </w:tblPr>
      <w:tblGrid>
        <w:gridCol w:w="2753"/>
        <w:gridCol w:w="185"/>
        <w:gridCol w:w="630"/>
        <w:gridCol w:w="1339"/>
        <w:gridCol w:w="962"/>
        <w:gridCol w:w="1169"/>
        <w:gridCol w:w="867"/>
        <w:gridCol w:w="716"/>
        <w:gridCol w:w="1037"/>
      </w:tblGrid>
      <w:tr w:rsidR="00923BDC" w:rsidRPr="00923BDC" w:rsidTr="00923BDC">
        <w:trPr>
          <w:trHeight w:val="298"/>
        </w:trPr>
        <w:tc>
          <w:tcPr>
            <w:tcW w:w="2753" w:type="dxa"/>
            <w:tcBorders>
              <w:top w:val="single" w:sz="4" w:space="0" w:color="auto"/>
              <w:left w:val="nil"/>
              <w:bottom w:val="single" w:sz="4" w:space="0" w:color="auto"/>
              <w:right w:val="nil"/>
            </w:tcBorders>
            <w:shd w:val="clear" w:color="000000" w:fill="FFFFFF"/>
            <w:noWrap/>
            <w:vAlign w:val="center"/>
            <w:hideMark/>
          </w:tcPr>
          <w:p w:rsidR="00923BDC" w:rsidRPr="00923BDC" w:rsidRDefault="00923BDC" w:rsidP="00923BDC">
            <w:pPr>
              <w:widowControl/>
              <w:suppressAutoHyphens w:val="0"/>
              <w:rPr>
                <w:sz w:val="18"/>
                <w:szCs w:val="18"/>
                <w:lang w:eastAsia="it-IT"/>
              </w:rPr>
            </w:pPr>
            <w:r w:rsidRPr="00923BDC">
              <w:rPr>
                <w:sz w:val="18"/>
                <w:szCs w:val="18"/>
                <w:lang w:eastAsia="it-IT"/>
              </w:rPr>
              <w:t>(</w:t>
            </w:r>
            <w:proofErr w:type="gramStart"/>
            <w:r w:rsidRPr="00923BDC">
              <w:rPr>
                <w:sz w:val="18"/>
                <w:szCs w:val="18"/>
                <w:lang w:eastAsia="it-IT"/>
              </w:rPr>
              <w:t>in</w:t>
            </w:r>
            <w:proofErr w:type="gramEnd"/>
            <w:r w:rsidRPr="00923BDC">
              <w:rPr>
                <w:sz w:val="18"/>
                <w:szCs w:val="18"/>
                <w:lang w:eastAsia="it-IT"/>
              </w:rPr>
              <w:t xml:space="preserve"> milioni di euro)</w:t>
            </w:r>
          </w:p>
        </w:tc>
        <w:tc>
          <w:tcPr>
            <w:tcW w:w="174" w:type="dxa"/>
            <w:tcBorders>
              <w:top w:val="nil"/>
              <w:left w:val="nil"/>
              <w:bottom w:val="nil"/>
              <w:right w:val="nil"/>
            </w:tcBorders>
            <w:shd w:val="clear" w:color="000000" w:fill="FFFFFF"/>
            <w:noWrap/>
            <w:vAlign w:val="center"/>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6693" w:type="dxa"/>
            <w:gridSpan w:val="7"/>
            <w:tcBorders>
              <w:top w:val="single" w:sz="4" w:space="0" w:color="auto"/>
              <w:left w:val="nil"/>
              <w:bottom w:val="single" w:sz="4" w:space="0" w:color="auto"/>
              <w:right w:val="nil"/>
            </w:tcBorders>
            <w:shd w:val="clear" w:color="000000" w:fill="FFFFFF"/>
            <w:noWrap/>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Progressivo al 31/03/2015</w:t>
            </w:r>
          </w:p>
        </w:tc>
      </w:tr>
      <w:tr w:rsidR="00923BDC" w:rsidRPr="00923BDC" w:rsidTr="00923BDC">
        <w:trPr>
          <w:trHeight w:val="716"/>
        </w:trPr>
        <w:tc>
          <w:tcPr>
            <w:tcW w:w="2753" w:type="dxa"/>
            <w:tcBorders>
              <w:top w:val="nil"/>
              <w:left w:val="nil"/>
              <w:bottom w:val="single" w:sz="4" w:space="0" w:color="auto"/>
              <w:right w:val="nil"/>
            </w:tcBorders>
            <w:shd w:val="clear" w:color="000000" w:fill="FFFFFF"/>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174"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603"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Ricavi</w:t>
            </w:r>
          </w:p>
        </w:tc>
        <w:tc>
          <w:tcPr>
            <w:tcW w:w="1339"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 xml:space="preserve">EBITDA ANTE NON RICORRENTI </w:t>
            </w:r>
          </w:p>
        </w:tc>
        <w:tc>
          <w:tcPr>
            <w:tcW w:w="962"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sui ricavi</w:t>
            </w:r>
          </w:p>
        </w:tc>
        <w:tc>
          <w:tcPr>
            <w:tcW w:w="1169"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EBITDA</w:t>
            </w:r>
          </w:p>
        </w:tc>
        <w:tc>
          <w:tcPr>
            <w:tcW w:w="867"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sui ricavi</w:t>
            </w:r>
          </w:p>
        </w:tc>
        <w:tc>
          <w:tcPr>
            <w:tcW w:w="716"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EBIT</w:t>
            </w:r>
          </w:p>
        </w:tc>
        <w:tc>
          <w:tcPr>
            <w:tcW w:w="1037"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sui</w:t>
            </w:r>
            <w:r w:rsidRPr="00923BDC">
              <w:rPr>
                <w:b/>
                <w:bCs/>
                <w:sz w:val="18"/>
                <w:szCs w:val="18"/>
                <w:lang w:eastAsia="it-IT"/>
              </w:rPr>
              <w:br/>
              <w:t>ricavi</w:t>
            </w:r>
          </w:p>
        </w:tc>
      </w:tr>
      <w:tr w:rsidR="00923BDC" w:rsidRPr="00923BDC" w:rsidTr="00923BDC">
        <w:trPr>
          <w:trHeight w:val="254"/>
        </w:trPr>
        <w:tc>
          <w:tcPr>
            <w:tcW w:w="2753"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Media Italia </w:t>
            </w:r>
          </w:p>
        </w:tc>
        <w:tc>
          <w:tcPr>
            <w:tcW w:w="174"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603"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121,4</w:t>
            </w:r>
          </w:p>
        </w:tc>
        <w:tc>
          <w:tcPr>
            <w:tcW w:w="133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(0,4)</w:t>
            </w:r>
          </w:p>
        </w:tc>
        <w:tc>
          <w:tcPr>
            <w:tcW w:w="96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(0,3)%</w:t>
            </w:r>
          </w:p>
        </w:tc>
        <w:tc>
          <w:tcPr>
            <w:tcW w:w="116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(0,6)</w:t>
            </w:r>
          </w:p>
        </w:tc>
        <w:tc>
          <w:tcPr>
            <w:tcW w:w="867"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(0,5)%</w:t>
            </w:r>
          </w:p>
        </w:tc>
        <w:tc>
          <w:tcPr>
            <w:tcW w:w="71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(4,8)</w:t>
            </w:r>
          </w:p>
        </w:tc>
        <w:tc>
          <w:tcPr>
            <w:tcW w:w="1037"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(4,0)%</w:t>
            </w:r>
          </w:p>
        </w:tc>
      </w:tr>
      <w:tr w:rsidR="00923BDC" w:rsidRPr="00923BDC" w:rsidTr="00923BDC">
        <w:trPr>
          <w:trHeight w:val="254"/>
        </w:trPr>
        <w:tc>
          <w:tcPr>
            <w:tcW w:w="2753"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Media Spagna </w:t>
            </w:r>
          </w:p>
        </w:tc>
        <w:tc>
          <w:tcPr>
            <w:tcW w:w="174"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603"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73,0</w:t>
            </w:r>
          </w:p>
        </w:tc>
        <w:tc>
          <w:tcPr>
            <w:tcW w:w="133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(2,4)</w:t>
            </w:r>
          </w:p>
        </w:tc>
        <w:tc>
          <w:tcPr>
            <w:tcW w:w="96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(3,3)%</w:t>
            </w:r>
          </w:p>
        </w:tc>
        <w:tc>
          <w:tcPr>
            <w:tcW w:w="116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(2,5)</w:t>
            </w:r>
          </w:p>
        </w:tc>
        <w:tc>
          <w:tcPr>
            <w:tcW w:w="867"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(3,4)%</w:t>
            </w:r>
          </w:p>
        </w:tc>
        <w:tc>
          <w:tcPr>
            <w:tcW w:w="71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(7,4)</w:t>
            </w:r>
          </w:p>
        </w:tc>
        <w:tc>
          <w:tcPr>
            <w:tcW w:w="1037"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(10,1)%</w:t>
            </w:r>
          </w:p>
        </w:tc>
      </w:tr>
      <w:tr w:rsidR="00923BDC" w:rsidRPr="00923BDC" w:rsidTr="00923BDC">
        <w:trPr>
          <w:trHeight w:val="254"/>
        </w:trPr>
        <w:tc>
          <w:tcPr>
            <w:tcW w:w="2753"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Libri (1)</w:t>
            </w:r>
          </w:p>
        </w:tc>
        <w:tc>
          <w:tcPr>
            <w:tcW w:w="174"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603"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28,9</w:t>
            </w:r>
          </w:p>
        </w:tc>
        <w:tc>
          <w:tcPr>
            <w:tcW w:w="133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(6,4)</w:t>
            </w:r>
          </w:p>
        </w:tc>
        <w:tc>
          <w:tcPr>
            <w:tcW w:w="96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(22,1)%</w:t>
            </w:r>
          </w:p>
        </w:tc>
        <w:tc>
          <w:tcPr>
            <w:tcW w:w="116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(6,9)</w:t>
            </w:r>
          </w:p>
        </w:tc>
        <w:tc>
          <w:tcPr>
            <w:tcW w:w="867"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(23,9)%</w:t>
            </w:r>
          </w:p>
        </w:tc>
        <w:tc>
          <w:tcPr>
            <w:tcW w:w="71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(7,8)</w:t>
            </w:r>
          </w:p>
        </w:tc>
        <w:tc>
          <w:tcPr>
            <w:tcW w:w="1037"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(27,0)%</w:t>
            </w:r>
          </w:p>
        </w:tc>
      </w:tr>
      <w:tr w:rsidR="00923BDC" w:rsidRPr="00923BDC" w:rsidTr="00923BDC">
        <w:trPr>
          <w:trHeight w:val="254"/>
        </w:trPr>
        <w:tc>
          <w:tcPr>
            <w:tcW w:w="2753"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Pubblicità ed Eventi </w:t>
            </w:r>
          </w:p>
        </w:tc>
        <w:tc>
          <w:tcPr>
            <w:tcW w:w="174"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603"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68,0</w:t>
            </w:r>
          </w:p>
        </w:tc>
        <w:tc>
          <w:tcPr>
            <w:tcW w:w="133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(4,3)</w:t>
            </w:r>
          </w:p>
        </w:tc>
        <w:tc>
          <w:tcPr>
            <w:tcW w:w="96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(6,3)%</w:t>
            </w:r>
          </w:p>
        </w:tc>
        <w:tc>
          <w:tcPr>
            <w:tcW w:w="116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(4,5)</w:t>
            </w:r>
          </w:p>
        </w:tc>
        <w:tc>
          <w:tcPr>
            <w:tcW w:w="867"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(6,6)%</w:t>
            </w:r>
          </w:p>
        </w:tc>
        <w:tc>
          <w:tcPr>
            <w:tcW w:w="71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(4,5)</w:t>
            </w:r>
          </w:p>
        </w:tc>
        <w:tc>
          <w:tcPr>
            <w:tcW w:w="1037"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(6,6)%</w:t>
            </w:r>
          </w:p>
        </w:tc>
      </w:tr>
      <w:tr w:rsidR="00923BDC" w:rsidRPr="00923BDC" w:rsidTr="00923BDC">
        <w:trPr>
          <w:trHeight w:val="254"/>
        </w:trPr>
        <w:tc>
          <w:tcPr>
            <w:tcW w:w="2753"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Funzioni Corporate e Altre Attività </w:t>
            </w:r>
          </w:p>
        </w:tc>
        <w:tc>
          <w:tcPr>
            <w:tcW w:w="174"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603"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17,3</w:t>
            </w:r>
          </w:p>
        </w:tc>
        <w:tc>
          <w:tcPr>
            <w:tcW w:w="133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(8,8)</w:t>
            </w:r>
          </w:p>
        </w:tc>
        <w:tc>
          <w:tcPr>
            <w:tcW w:w="96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(50,9)%</w:t>
            </w:r>
          </w:p>
        </w:tc>
        <w:tc>
          <w:tcPr>
            <w:tcW w:w="116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(8,9)</w:t>
            </w:r>
          </w:p>
        </w:tc>
        <w:tc>
          <w:tcPr>
            <w:tcW w:w="867"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(51,4)%</w:t>
            </w:r>
          </w:p>
        </w:tc>
        <w:tc>
          <w:tcPr>
            <w:tcW w:w="71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(14,6)</w:t>
            </w:r>
          </w:p>
        </w:tc>
        <w:tc>
          <w:tcPr>
            <w:tcW w:w="1037"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proofErr w:type="spellStart"/>
            <w:r w:rsidRPr="00923BDC">
              <w:rPr>
                <w:sz w:val="18"/>
                <w:szCs w:val="18"/>
                <w:lang w:eastAsia="it-IT"/>
              </w:rPr>
              <w:t>n.a</w:t>
            </w:r>
            <w:proofErr w:type="spellEnd"/>
          </w:p>
        </w:tc>
      </w:tr>
      <w:tr w:rsidR="00923BDC" w:rsidRPr="00923BDC" w:rsidTr="00923BDC">
        <w:trPr>
          <w:trHeight w:val="254"/>
        </w:trPr>
        <w:tc>
          <w:tcPr>
            <w:tcW w:w="2753"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Diverse ed elisioni</w:t>
            </w:r>
          </w:p>
        </w:tc>
        <w:tc>
          <w:tcPr>
            <w:tcW w:w="174"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603"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(52,1)</w:t>
            </w:r>
          </w:p>
        </w:tc>
        <w:tc>
          <w:tcPr>
            <w:tcW w:w="133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 </w:t>
            </w:r>
          </w:p>
        </w:tc>
        <w:tc>
          <w:tcPr>
            <w:tcW w:w="96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0,0%</w:t>
            </w:r>
          </w:p>
        </w:tc>
        <w:tc>
          <w:tcPr>
            <w:tcW w:w="1169"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0,0</w:t>
            </w:r>
          </w:p>
        </w:tc>
        <w:tc>
          <w:tcPr>
            <w:tcW w:w="867"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0,0%</w:t>
            </w:r>
          </w:p>
        </w:tc>
        <w:tc>
          <w:tcPr>
            <w:tcW w:w="71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0,0</w:t>
            </w:r>
          </w:p>
        </w:tc>
        <w:tc>
          <w:tcPr>
            <w:tcW w:w="1037"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proofErr w:type="spellStart"/>
            <w:r w:rsidRPr="00923BDC">
              <w:rPr>
                <w:sz w:val="18"/>
                <w:szCs w:val="18"/>
                <w:lang w:eastAsia="it-IT"/>
              </w:rPr>
              <w:t>n.a</w:t>
            </w:r>
            <w:proofErr w:type="spellEnd"/>
          </w:p>
        </w:tc>
      </w:tr>
      <w:tr w:rsidR="00923BDC" w:rsidRPr="00923BDC" w:rsidTr="00923BDC">
        <w:trPr>
          <w:trHeight w:val="254"/>
        </w:trPr>
        <w:tc>
          <w:tcPr>
            <w:tcW w:w="2753"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Consolidato</w:t>
            </w:r>
          </w:p>
        </w:tc>
        <w:tc>
          <w:tcPr>
            <w:tcW w:w="174"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603"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256,5</w:t>
            </w:r>
          </w:p>
        </w:tc>
        <w:tc>
          <w:tcPr>
            <w:tcW w:w="1339"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(22,3)</w:t>
            </w:r>
          </w:p>
        </w:tc>
        <w:tc>
          <w:tcPr>
            <w:tcW w:w="96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(8,7)%</w:t>
            </w:r>
          </w:p>
        </w:tc>
        <w:tc>
          <w:tcPr>
            <w:tcW w:w="1169"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(23,4)</w:t>
            </w:r>
          </w:p>
        </w:tc>
        <w:tc>
          <w:tcPr>
            <w:tcW w:w="867"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(9,1)%</w:t>
            </w:r>
          </w:p>
        </w:tc>
        <w:tc>
          <w:tcPr>
            <w:tcW w:w="71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(39,1)</w:t>
            </w:r>
          </w:p>
        </w:tc>
        <w:tc>
          <w:tcPr>
            <w:tcW w:w="1037"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(15,2)%</w:t>
            </w:r>
          </w:p>
        </w:tc>
      </w:tr>
    </w:tbl>
    <w:p w:rsidR="00B66CEC" w:rsidRDefault="00B66CEC" w:rsidP="00B66CEC"/>
    <w:p w:rsidR="00B66CEC" w:rsidRDefault="00B66CEC" w:rsidP="00B66CEC"/>
    <w:p w:rsidR="00B66CEC" w:rsidRDefault="00B66CEC" w:rsidP="00B66CEC"/>
    <w:tbl>
      <w:tblPr>
        <w:tblW w:w="9600" w:type="dxa"/>
        <w:tblInd w:w="55" w:type="dxa"/>
        <w:tblCellMar>
          <w:left w:w="70" w:type="dxa"/>
          <w:right w:w="70" w:type="dxa"/>
        </w:tblCellMar>
        <w:tblLook w:val="04A0" w:firstRow="1" w:lastRow="0" w:firstColumn="1" w:lastColumn="0" w:noHBand="0" w:noVBand="1"/>
      </w:tblPr>
      <w:tblGrid>
        <w:gridCol w:w="2920"/>
        <w:gridCol w:w="185"/>
        <w:gridCol w:w="780"/>
        <w:gridCol w:w="1311"/>
        <w:gridCol w:w="780"/>
        <w:gridCol w:w="831"/>
        <w:gridCol w:w="860"/>
        <w:gridCol w:w="1200"/>
        <w:gridCol w:w="820"/>
      </w:tblGrid>
      <w:tr w:rsidR="00923BDC" w:rsidRPr="00923BDC" w:rsidTr="00923BDC">
        <w:trPr>
          <w:trHeight w:val="300"/>
        </w:trPr>
        <w:tc>
          <w:tcPr>
            <w:tcW w:w="2920" w:type="dxa"/>
            <w:tcBorders>
              <w:top w:val="single" w:sz="4" w:space="0" w:color="auto"/>
              <w:left w:val="nil"/>
              <w:bottom w:val="single" w:sz="4" w:space="0" w:color="auto"/>
              <w:right w:val="nil"/>
            </w:tcBorders>
            <w:shd w:val="clear" w:color="000000" w:fill="FFFFFF"/>
            <w:noWrap/>
            <w:vAlign w:val="center"/>
            <w:hideMark/>
          </w:tcPr>
          <w:p w:rsidR="00923BDC" w:rsidRPr="00923BDC" w:rsidRDefault="00923BDC" w:rsidP="00923BDC">
            <w:pPr>
              <w:widowControl/>
              <w:suppressAutoHyphens w:val="0"/>
              <w:rPr>
                <w:sz w:val="18"/>
                <w:szCs w:val="18"/>
                <w:lang w:eastAsia="it-IT"/>
              </w:rPr>
            </w:pPr>
            <w:r w:rsidRPr="00923BDC">
              <w:rPr>
                <w:sz w:val="18"/>
                <w:szCs w:val="18"/>
                <w:lang w:eastAsia="it-IT"/>
              </w:rPr>
              <w:t>(</w:t>
            </w:r>
            <w:proofErr w:type="gramStart"/>
            <w:r w:rsidRPr="00923BDC">
              <w:rPr>
                <w:sz w:val="18"/>
                <w:szCs w:val="18"/>
                <w:lang w:eastAsia="it-IT"/>
              </w:rPr>
              <w:t>in</w:t>
            </w:r>
            <w:proofErr w:type="gramEnd"/>
            <w:r w:rsidRPr="00923BDC">
              <w:rPr>
                <w:sz w:val="18"/>
                <w:szCs w:val="18"/>
                <w:lang w:eastAsia="it-IT"/>
              </w:rPr>
              <w:t xml:space="preserve"> milioni di euro)</w:t>
            </w:r>
          </w:p>
        </w:tc>
        <w:tc>
          <w:tcPr>
            <w:tcW w:w="160" w:type="dxa"/>
            <w:tcBorders>
              <w:top w:val="nil"/>
              <w:left w:val="nil"/>
              <w:bottom w:val="nil"/>
              <w:right w:val="nil"/>
            </w:tcBorders>
            <w:shd w:val="clear" w:color="000000" w:fill="FFFFFF"/>
            <w:noWrap/>
            <w:vAlign w:val="center"/>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6520" w:type="dxa"/>
            <w:gridSpan w:val="7"/>
            <w:tcBorders>
              <w:top w:val="single" w:sz="4" w:space="0" w:color="auto"/>
              <w:left w:val="nil"/>
              <w:bottom w:val="single" w:sz="4" w:space="0" w:color="auto"/>
              <w:right w:val="nil"/>
            </w:tcBorders>
            <w:shd w:val="clear" w:color="000000" w:fill="FFFFFF"/>
            <w:noWrap/>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xml:space="preserve">Progressivo al 31/03/2014  </w:t>
            </w:r>
          </w:p>
        </w:tc>
      </w:tr>
      <w:tr w:rsidR="00923BDC" w:rsidRPr="00923BDC" w:rsidTr="00923BDC">
        <w:trPr>
          <w:trHeight w:val="720"/>
        </w:trPr>
        <w:tc>
          <w:tcPr>
            <w:tcW w:w="2920" w:type="dxa"/>
            <w:tcBorders>
              <w:top w:val="nil"/>
              <w:left w:val="nil"/>
              <w:bottom w:val="single" w:sz="4" w:space="0" w:color="auto"/>
              <w:right w:val="nil"/>
            </w:tcBorders>
            <w:shd w:val="clear" w:color="000000" w:fill="FFFFFF"/>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16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780"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Ricavi</w:t>
            </w:r>
          </w:p>
        </w:tc>
        <w:tc>
          <w:tcPr>
            <w:tcW w:w="1260"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 xml:space="preserve">EBITDA ANTE NON RICORRENTI </w:t>
            </w:r>
          </w:p>
        </w:tc>
        <w:tc>
          <w:tcPr>
            <w:tcW w:w="780"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sui ricavi</w:t>
            </w:r>
          </w:p>
        </w:tc>
        <w:tc>
          <w:tcPr>
            <w:tcW w:w="820"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xml:space="preserve">EBITDA </w:t>
            </w:r>
          </w:p>
        </w:tc>
        <w:tc>
          <w:tcPr>
            <w:tcW w:w="860"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sui ricavi</w:t>
            </w:r>
          </w:p>
        </w:tc>
        <w:tc>
          <w:tcPr>
            <w:tcW w:w="1200"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EBIT</w:t>
            </w:r>
          </w:p>
        </w:tc>
        <w:tc>
          <w:tcPr>
            <w:tcW w:w="820"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sui</w:t>
            </w:r>
            <w:r w:rsidRPr="00923BDC">
              <w:rPr>
                <w:b/>
                <w:bCs/>
                <w:sz w:val="18"/>
                <w:szCs w:val="18"/>
                <w:lang w:eastAsia="it-IT"/>
              </w:rPr>
              <w:br/>
              <w:t>ricavi</w:t>
            </w:r>
          </w:p>
        </w:tc>
      </w:tr>
      <w:tr w:rsidR="00923BDC" w:rsidRPr="00923BDC" w:rsidTr="00923BDC">
        <w:trPr>
          <w:trHeight w:val="255"/>
        </w:trPr>
        <w:tc>
          <w:tcPr>
            <w:tcW w:w="292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Media Italia </w:t>
            </w:r>
          </w:p>
        </w:tc>
        <w:tc>
          <w:tcPr>
            <w:tcW w:w="16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78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122,7</w:t>
            </w:r>
          </w:p>
        </w:tc>
        <w:tc>
          <w:tcPr>
            <w:tcW w:w="12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(0,6)</w:t>
            </w:r>
          </w:p>
        </w:tc>
        <w:tc>
          <w:tcPr>
            <w:tcW w:w="78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(0,5)%</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(3,2)</w:t>
            </w:r>
          </w:p>
        </w:tc>
        <w:tc>
          <w:tcPr>
            <w:tcW w:w="86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(2,6)%</w:t>
            </w:r>
          </w:p>
        </w:tc>
        <w:tc>
          <w:tcPr>
            <w:tcW w:w="120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(6,8)</w:t>
            </w:r>
          </w:p>
        </w:tc>
        <w:tc>
          <w:tcPr>
            <w:tcW w:w="82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(5,5)%</w:t>
            </w:r>
          </w:p>
        </w:tc>
      </w:tr>
      <w:tr w:rsidR="00923BDC" w:rsidRPr="00923BDC" w:rsidTr="00923BDC">
        <w:trPr>
          <w:trHeight w:val="255"/>
        </w:trPr>
        <w:tc>
          <w:tcPr>
            <w:tcW w:w="292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Media Spagna </w:t>
            </w:r>
          </w:p>
        </w:tc>
        <w:tc>
          <w:tcPr>
            <w:tcW w:w="16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78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79,7</w:t>
            </w:r>
          </w:p>
        </w:tc>
        <w:tc>
          <w:tcPr>
            <w:tcW w:w="12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(7,0)</w:t>
            </w:r>
          </w:p>
        </w:tc>
        <w:tc>
          <w:tcPr>
            <w:tcW w:w="78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(8,8)%</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(20,6)</w:t>
            </w:r>
          </w:p>
        </w:tc>
        <w:tc>
          <w:tcPr>
            <w:tcW w:w="8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(25,8)%</w:t>
            </w:r>
          </w:p>
        </w:tc>
        <w:tc>
          <w:tcPr>
            <w:tcW w:w="120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(25,4)</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(31,9)%</w:t>
            </w:r>
          </w:p>
        </w:tc>
      </w:tr>
      <w:tr w:rsidR="00923BDC" w:rsidRPr="00923BDC" w:rsidTr="00923BDC">
        <w:trPr>
          <w:trHeight w:val="255"/>
        </w:trPr>
        <w:tc>
          <w:tcPr>
            <w:tcW w:w="29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Libri (1)</w:t>
            </w:r>
          </w:p>
        </w:tc>
        <w:tc>
          <w:tcPr>
            <w:tcW w:w="16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78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26,3</w:t>
            </w:r>
          </w:p>
        </w:tc>
        <w:tc>
          <w:tcPr>
            <w:tcW w:w="12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(8,3)</w:t>
            </w:r>
          </w:p>
        </w:tc>
        <w:tc>
          <w:tcPr>
            <w:tcW w:w="78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(31,6)%</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(8,7)</w:t>
            </w:r>
          </w:p>
        </w:tc>
        <w:tc>
          <w:tcPr>
            <w:tcW w:w="8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(33,1)%</w:t>
            </w:r>
          </w:p>
        </w:tc>
        <w:tc>
          <w:tcPr>
            <w:tcW w:w="120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(9,0)</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(34,2)%</w:t>
            </w:r>
          </w:p>
        </w:tc>
      </w:tr>
      <w:tr w:rsidR="00923BDC" w:rsidRPr="00923BDC" w:rsidTr="00923BDC">
        <w:trPr>
          <w:trHeight w:val="255"/>
        </w:trPr>
        <w:tc>
          <w:tcPr>
            <w:tcW w:w="29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Pubblicità ed Eventi </w:t>
            </w:r>
          </w:p>
        </w:tc>
        <w:tc>
          <w:tcPr>
            <w:tcW w:w="16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78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73,9</w:t>
            </w:r>
          </w:p>
        </w:tc>
        <w:tc>
          <w:tcPr>
            <w:tcW w:w="12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(4,6)</w:t>
            </w:r>
          </w:p>
        </w:tc>
        <w:tc>
          <w:tcPr>
            <w:tcW w:w="78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(6,2)%</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(4,8)</w:t>
            </w:r>
          </w:p>
        </w:tc>
        <w:tc>
          <w:tcPr>
            <w:tcW w:w="8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(6,5)%</w:t>
            </w:r>
          </w:p>
        </w:tc>
        <w:tc>
          <w:tcPr>
            <w:tcW w:w="120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(4,9)</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(6,6)%</w:t>
            </w:r>
          </w:p>
        </w:tc>
      </w:tr>
      <w:tr w:rsidR="00923BDC" w:rsidRPr="00923BDC" w:rsidTr="00923BDC">
        <w:trPr>
          <w:trHeight w:val="255"/>
        </w:trPr>
        <w:tc>
          <w:tcPr>
            <w:tcW w:w="29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xml:space="preserve">Funzioni Corporate e Altre Attività </w:t>
            </w:r>
          </w:p>
        </w:tc>
        <w:tc>
          <w:tcPr>
            <w:tcW w:w="16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78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17,1</w:t>
            </w:r>
          </w:p>
        </w:tc>
        <w:tc>
          <w:tcPr>
            <w:tcW w:w="12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(8,6)</w:t>
            </w:r>
          </w:p>
        </w:tc>
        <w:tc>
          <w:tcPr>
            <w:tcW w:w="78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(50,3)%</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(8,6)</w:t>
            </w:r>
          </w:p>
        </w:tc>
        <w:tc>
          <w:tcPr>
            <w:tcW w:w="8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(50,3)%</w:t>
            </w:r>
          </w:p>
        </w:tc>
        <w:tc>
          <w:tcPr>
            <w:tcW w:w="120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(14,0)</w:t>
            </w:r>
          </w:p>
        </w:tc>
        <w:tc>
          <w:tcPr>
            <w:tcW w:w="82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proofErr w:type="spellStart"/>
            <w:r w:rsidRPr="00923BDC">
              <w:rPr>
                <w:sz w:val="18"/>
                <w:szCs w:val="18"/>
                <w:lang w:eastAsia="it-IT"/>
              </w:rPr>
              <w:t>n.a</w:t>
            </w:r>
            <w:proofErr w:type="spellEnd"/>
          </w:p>
        </w:tc>
      </w:tr>
      <w:tr w:rsidR="00923BDC" w:rsidRPr="00923BDC" w:rsidTr="00923BDC">
        <w:trPr>
          <w:trHeight w:val="255"/>
        </w:trPr>
        <w:tc>
          <w:tcPr>
            <w:tcW w:w="292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Diverse ed elisioni</w:t>
            </w:r>
          </w:p>
        </w:tc>
        <w:tc>
          <w:tcPr>
            <w:tcW w:w="16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78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(56,8)</w:t>
            </w:r>
          </w:p>
        </w:tc>
        <w:tc>
          <w:tcPr>
            <w:tcW w:w="126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0,1</w:t>
            </w:r>
          </w:p>
        </w:tc>
        <w:tc>
          <w:tcPr>
            <w:tcW w:w="780"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(0,2)%</w:t>
            </w:r>
          </w:p>
        </w:tc>
        <w:tc>
          <w:tcPr>
            <w:tcW w:w="820" w:type="dxa"/>
            <w:tcBorders>
              <w:top w:val="nil"/>
              <w:left w:val="nil"/>
              <w:bottom w:val="nil"/>
              <w:right w:val="nil"/>
            </w:tcBorders>
            <w:shd w:val="clear" w:color="auto" w:fill="auto"/>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w:t>
            </w:r>
          </w:p>
        </w:tc>
        <w:tc>
          <w:tcPr>
            <w:tcW w:w="86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proofErr w:type="spellStart"/>
            <w:r w:rsidRPr="00923BDC">
              <w:rPr>
                <w:sz w:val="18"/>
                <w:szCs w:val="18"/>
                <w:lang w:eastAsia="it-IT"/>
              </w:rPr>
              <w:t>n.a</w:t>
            </w:r>
            <w:proofErr w:type="spellEnd"/>
          </w:p>
        </w:tc>
        <w:tc>
          <w:tcPr>
            <w:tcW w:w="120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0,0</w:t>
            </w:r>
          </w:p>
        </w:tc>
        <w:tc>
          <w:tcPr>
            <w:tcW w:w="82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proofErr w:type="spellStart"/>
            <w:r w:rsidRPr="00923BDC">
              <w:rPr>
                <w:sz w:val="18"/>
                <w:szCs w:val="18"/>
                <w:lang w:eastAsia="it-IT"/>
              </w:rPr>
              <w:t>n.a</w:t>
            </w:r>
            <w:proofErr w:type="spellEnd"/>
          </w:p>
        </w:tc>
      </w:tr>
      <w:tr w:rsidR="00923BDC" w:rsidRPr="00923BDC" w:rsidTr="00923BDC">
        <w:trPr>
          <w:trHeight w:val="255"/>
        </w:trPr>
        <w:tc>
          <w:tcPr>
            <w:tcW w:w="292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Consolidato</w:t>
            </w:r>
          </w:p>
        </w:tc>
        <w:tc>
          <w:tcPr>
            <w:tcW w:w="160"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 </w:t>
            </w:r>
          </w:p>
        </w:tc>
        <w:tc>
          <w:tcPr>
            <w:tcW w:w="78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262,9</w:t>
            </w:r>
          </w:p>
        </w:tc>
        <w:tc>
          <w:tcPr>
            <w:tcW w:w="126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(29,0)</w:t>
            </w:r>
          </w:p>
        </w:tc>
        <w:tc>
          <w:tcPr>
            <w:tcW w:w="78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(11,0)%</w:t>
            </w:r>
          </w:p>
        </w:tc>
        <w:tc>
          <w:tcPr>
            <w:tcW w:w="82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(45,9)</w:t>
            </w:r>
          </w:p>
        </w:tc>
        <w:tc>
          <w:tcPr>
            <w:tcW w:w="86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(17,5)%</w:t>
            </w:r>
          </w:p>
        </w:tc>
        <w:tc>
          <w:tcPr>
            <w:tcW w:w="120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(60,1)</w:t>
            </w:r>
          </w:p>
        </w:tc>
        <w:tc>
          <w:tcPr>
            <w:tcW w:w="820"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(22,9)%</w:t>
            </w:r>
          </w:p>
        </w:tc>
      </w:tr>
    </w:tbl>
    <w:p w:rsidR="00B66CEC" w:rsidRDefault="00B66CEC" w:rsidP="00B66CEC"/>
    <w:p w:rsidR="00B66CEC" w:rsidRDefault="00B66CEC" w:rsidP="00B66CEC"/>
    <w:p w:rsidR="00B66CEC" w:rsidRPr="00512CDF" w:rsidRDefault="00B66CEC" w:rsidP="00B66CEC">
      <w:pPr>
        <w:pStyle w:val="note"/>
        <w:rPr>
          <w:szCs w:val="14"/>
        </w:rPr>
      </w:pPr>
      <w:r>
        <w:rPr>
          <w:szCs w:val="14"/>
        </w:rPr>
        <w:t>(1</w:t>
      </w:r>
      <w:r w:rsidRPr="00D844C1">
        <w:rPr>
          <w:szCs w:val="14"/>
        </w:rPr>
        <w:t>) In data 1 marzo 2014 è stato ceduto il ramo d’attività ed il marchio Casa Editrice La Tribuna. Tale variazione ha comportato complessivamente minor ricavi consolidati per 0</w:t>
      </w:r>
      <w:r w:rsidRPr="00512CDF">
        <w:rPr>
          <w:szCs w:val="14"/>
        </w:rPr>
        <w:t xml:space="preserve">,3 milioni ed un miglioramento dell’EBITDA pari a 0,4 milioni. </w:t>
      </w:r>
    </w:p>
    <w:p w:rsidR="00B66CEC" w:rsidRDefault="00B66CEC" w:rsidP="00B66CEC"/>
    <w:p w:rsidR="00607365" w:rsidRDefault="00607365" w:rsidP="00B66CEC">
      <w:pPr>
        <w:widowControl/>
        <w:suppressAutoHyphens w:val="0"/>
        <w:jc w:val="both"/>
        <w:rPr>
          <w:position w:val="6"/>
          <w:sz w:val="14"/>
          <w:szCs w:val="14"/>
          <w:lang w:eastAsia="it-IT"/>
        </w:rPr>
      </w:pPr>
    </w:p>
    <w:p w:rsidR="00923BDC" w:rsidRDefault="00923BDC" w:rsidP="00923BDC">
      <w:pPr>
        <w:spacing w:line="280" w:lineRule="exact"/>
      </w:pPr>
    </w:p>
    <w:p w:rsidR="00923BDC" w:rsidRDefault="00923BDC" w:rsidP="00923BDC">
      <w:pPr>
        <w:spacing w:line="280" w:lineRule="exact"/>
      </w:pPr>
    </w:p>
    <w:p w:rsidR="00923BDC" w:rsidRDefault="00923BDC" w:rsidP="00923BDC">
      <w:pPr>
        <w:spacing w:line="280" w:lineRule="exact"/>
      </w:pPr>
    </w:p>
    <w:p w:rsidR="00923BDC" w:rsidRDefault="00923BDC" w:rsidP="00923BDC">
      <w:pPr>
        <w:spacing w:line="280" w:lineRule="exact"/>
      </w:pPr>
    </w:p>
    <w:p w:rsidR="00923BDC" w:rsidRDefault="00923BDC" w:rsidP="00923BDC">
      <w:pPr>
        <w:spacing w:line="280" w:lineRule="exact"/>
      </w:pPr>
    </w:p>
    <w:p w:rsidR="00923BDC" w:rsidRDefault="00923BDC" w:rsidP="00923BDC">
      <w:pPr>
        <w:spacing w:line="280" w:lineRule="exact"/>
      </w:pPr>
    </w:p>
    <w:p w:rsidR="00923BDC" w:rsidRDefault="00923BDC" w:rsidP="00923BDC">
      <w:pPr>
        <w:spacing w:line="280" w:lineRule="exact"/>
      </w:pPr>
    </w:p>
    <w:p w:rsidR="00923BDC" w:rsidRDefault="00923BDC" w:rsidP="00923BDC">
      <w:pPr>
        <w:spacing w:line="280" w:lineRule="exact"/>
      </w:pPr>
    </w:p>
    <w:p w:rsidR="00923BDC" w:rsidRDefault="00923BDC" w:rsidP="00923BDC">
      <w:pPr>
        <w:spacing w:line="280" w:lineRule="exact"/>
      </w:pPr>
    </w:p>
    <w:p w:rsidR="00923BDC" w:rsidRDefault="00923BDC" w:rsidP="00923BDC">
      <w:pPr>
        <w:spacing w:line="280" w:lineRule="exact"/>
      </w:pPr>
    </w:p>
    <w:p w:rsidR="00923BDC" w:rsidRDefault="00923BDC" w:rsidP="00923BDC">
      <w:pPr>
        <w:spacing w:line="280" w:lineRule="exact"/>
      </w:pPr>
    </w:p>
    <w:p w:rsidR="00923BDC" w:rsidRDefault="00923BDC" w:rsidP="00923BDC">
      <w:pPr>
        <w:spacing w:line="280" w:lineRule="exact"/>
      </w:pPr>
    </w:p>
    <w:p w:rsidR="00923BDC" w:rsidRDefault="00923BDC" w:rsidP="00923BDC">
      <w:pPr>
        <w:spacing w:line="280" w:lineRule="exact"/>
      </w:pPr>
    </w:p>
    <w:p w:rsidR="00923BDC" w:rsidRDefault="00923BDC" w:rsidP="00923BDC">
      <w:pPr>
        <w:spacing w:line="280" w:lineRule="exact"/>
      </w:pPr>
    </w:p>
    <w:p w:rsidR="00923BDC" w:rsidRDefault="00923BDC" w:rsidP="00923BDC">
      <w:pPr>
        <w:spacing w:line="280" w:lineRule="exact"/>
      </w:pPr>
    </w:p>
    <w:p w:rsidR="00923BDC" w:rsidRDefault="00923BDC" w:rsidP="00923BDC">
      <w:pPr>
        <w:pStyle w:val="Titolo1"/>
        <w:widowControl/>
        <w:pBdr>
          <w:top w:val="single" w:sz="4" w:space="3" w:color="auto"/>
          <w:bottom w:val="single" w:sz="4" w:space="1" w:color="auto"/>
        </w:pBdr>
        <w:suppressAutoHyphens w:val="0"/>
        <w:spacing w:before="120" w:after="240"/>
        <w:jc w:val="both"/>
        <w:rPr>
          <w:rFonts w:ascii="Times New Roman" w:hAnsi="Times New Roman" w:cs="Arial"/>
          <w:caps/>
          <w:sz w:val="24"/>
          <w:szCs w:val="24"/>
          <w:lang w:eastAsia="it-IT"/>
        </w:rPr>
      </w:pPr>
      <w:bookmarkStart w:id="4" w:name="_Toc418861073"/>
      <w:r w:rsidRPr="00923BDC">
        <w:rPr>
          <w:rFonts w:ascii="Times New Roman" w:hAnsi="Times New Roman" w:cs="Arial"/>
          <w:caps/>
          <w:sz w:val="24"/>
          <w:szCs w:val="24"/>
          <w:lang w:eastAsia="it-IT"/>
        </w:rPr>
        <w:lastRenderedPageBreak/>
        <w:t>Integrazioni su richiesta consob ai sensi dell’articolo 114, comma 5, del d.lgs 58/1998, del 27 maggio 2013</w:t>
      </w:r>
      <w:bookmarkEnd w:id="4"/>
      <w:r w:rsidRPr="00923BDC">
        <w:rPr>
          <w:rFonts w:ascii="Times New Roman" w:hAnsi="Times New Roman" w:cs="Arial"/>
          <w:caps/>
          <w:sz w:val="24"/>
          <w:szCs w:val="24"/>
          <w:lang w:eastAsia="it-IT"/>
        </w:rPr>
        <w:t xml:space="preserve"> </w:t>
      </w:r>
      <w:bookmarkEnd w:id="1"/>
    </w:p>
    <w:p w:rsidR="00923BDC" w:rsidRDefault="00923BDC" w:rsidP="00923BDC">
      <w:pPr>
        <w:rPr>
          <w:lang w:eastAsia="it-IT"/>
        </w:rPr>
      </w:pPr>
    </w:p>
    <w:p w:rsidR="00923BDC" w:rsidRPr="005776DC" w:rsidRDefault="00923BDC" w:rsidP="00923BDC">
      <w:pPr>
        <w:spacing w:line="280" w:lineRule="exact"/>
      </w:pPr>
    </w:p>
    <w:p w:rsidR="00923BDC" w:rsidRDefault="00923BDC" w:rsidP="00923BDC">
      <w:pPr>
        <w:pStyle w:val="Paragrafoelenco"/>
        <w:widowControl/>
        <w:numPr>
          <w:ilvl w:val="0"/>
          <w:numId w:val="12"/>
        </w:numPr>
        <w:suppressAutoHyphens w:val="0"/>
        <w:spacing w:line="280" w:lineRule="exact"/>
        <w:ind w:left="1080"/>
        <w:jc w:val="both"/>
        <w:rPr>
          <w:b/>
          <w:sz w:val="22"/>
          <w:szCs w:val="22"/>
        </w:rPr>
      </w:pPr>
      <w:r w:rsidRPr="00052555">
        <w:rPr>
          <w:b/>
          <w:sz w:val="22"/>
          <w:szCs w:val="22"/>
        </w:rPr>
        <w:t xml:space="preserve">La posizione finanziaria netta del Gruppo RCS e della Società cui fa capo </w:t>
      </w:r>
      <w:proofErr w:type="gramStart"/>
      <w:r w:rsidRPr="00052555">
        <w:rPr>
          <w:b/>
          <w:sz w:val="22"/>
          <w:szCs w:val="22"/>
        </w:rPr>
        <w:t>con  l’evidenziazione</w:t>
      </w:r>
      <w:proofErr w:type="gramEnd"/>
      <w:r w:rsidRPr="00052555">
        <w:rPr>
          <w:b/>
          <w:sz w:val="22"/>
          <w:szCs w:val="22"/>
        </w:rPr>
        <w:t xml:space="preserve"> delle componenti a breve separatamente da quelle a medio lungo termine</w:t>
      </w:r>
    </w:p>
    <w:p w:rsidR="00052555" w:rsidRPr="00052555" w:rsidRDefault="00052555" w:rsidP="00052555">
      <w:pPr>
        <w:pStyle w:val="Paragrafoelenco"/>
        <w:widowControl/>
        <w:suppressAutoHyphens w:val="0"/>
        <w:spacing w:line="280" w:lineRule="exact"/>
        <w:ind w:left="1080"/>
        <w:jc w:val="both"/>
        <w:rPr>
          <w:b/>
          <w:sz w:val="22"/>
          <w:szCs w:val="22"/>
        </w:rPr>
      </w:pPr>
    </w:p>
    <w:p w:rsidR="00923BDC" w:rsidRPr="00845BE8" w:rsidRDefault="00923BDC" w:rsidP="00923BDC">
      <w:pPr>
        <w:pStyle w:val="Paragrafoelenco"/>
        <w:ind w:left="-142"/>
        <w:rPr>
          <w:szCs w:val="22"/>
          <w:highlight w:val="yellow"/>
        </w:rPr>
      </w:pPr>
    </w:p>
    <w:tbl>
      <w:tblPr>
        <w:tblW w:w="10047" w:type="dxa"/>
        <w:tblInd w:w="55" w:type="dxa"/>
        <w:tblCellMar>
          <w:left w:w="70" w:type="dxa"/>
          <w:right w:w="70" w:type="dxa"/>
        </w:tblCellMar>
        <w:tblLook w:val="04A0" w:firstRow="1" w:lastRow="0" w:firstColumn="1" w:lastColumn="0" w:noHBand="0" w:noVBand="1"/>
      </w:tblPr>
      <w:tblGrid>
        <w:gridCol w:w="5217"/>
        <w:gridCol w:w="190"/>
        <w:gridCol w:w="1300"/>
        <w:gridCol w:w="1300"/>
        <w:gridCol w:w="980"/>
        <w:gridCol w:w="1060"/>
      </w:tblGrid>
      <w:tr w:rsidR="00052555" w:rsidRPr="00052555" w:rsidTr="00052555">
        <w:trPr>
          <w:trHeight w:val="255"/>
        </w:trPr>
        <w:tc>
          <w:tcPr>
            <w:tcW w:w="5407" w:type="dxa"/>
            <w:gridSpan w:val="2"/>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w:t>
            </w:r>
            <w:proofErr w:type="gramStart"/>
            <w:r w:rsidRPr="00052555">
              <w:rPr>
                <w:sz w:val="18"/>
                <w:szCs w:val="18"/>
                <w:lang w:eastAsia="it-IT"/>
              </w:rPr>
              <w:t>in</w:t>
            </w:r>
            <w:proofErr w:type="gramEnd"/>
            <w:r w:rsidRPr="00052555">
              <w:rPr>
                <w:sz w:val="18"/>
                <w:szCs w:val="18"/>
                <w:lang w:eastAsia="it-IT"/>
              </w:rPr>
              <w:t xml:space="preserve"> milioni di euro)</w:t>
            </w:r>
          </w:p>
        </w:tc>
        <w:tc>
          <w:tcPr>
            <w:tcW w:w="2600" w:type="dxa"/>
            <w:gridSpan w:val="2"/>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center"/>
              <w:rPr>
                <w:b/>
                <w:bCs/>
                <w:sz w:val="18"/>
                <w:szCs w:val="18"/>
                <w:lang w:eastAsia="it-IT"/>
              </w:rPr>
            </w:pPr>
            <w:r w:rsidRPr="00052555">
              <w:rPr>
                <w:b/>
                <w:bCs/>
                <w:sz w:val="18"/>
                <w:szCs w:val="18"/>
                <w:lang w:eastAsia="it-IT"/>
              </w:rPr>
              <w:t>Valore contabile</w:t>
            </w:r>
          </w:p>
        </w:tc>
        <w:tc>
          <w:tcPr>
            <w:tcW w:w="980" w:type="dxa"/>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8"/>
                <w:szCs w:val="18"/>
                <w:lang w:eastAsia="it-IT"/>
              </w:rPr>
            </w:pPr>
            <w:r w:rsidRPr="00052555">
              <w:rPr>
                <w:b/>
                <w:bCs/>
                <w:sz w:val="18"/>
                <w:szCs w:val="18"/>
                <w:lang w:eastAsia="it-IT"/>
              </w:rPr>
              <w:t>Variazione</w:t>
            </w:r>
          </w:p>
        </w:tc>
        <w:tc>
          <w:tcPr>
            <w:tcW w:w="1060" w:type="dxa"/>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8"/>
                <w:szCs w:val="18"/>
                <w:lang w:eastAsia="it-IT"/>
              </w:rPr>
            </w:pPr>
            <w:r w:rsidRPr="00052555">
              <w:rPr>
                <w:b/>
                <w:bCs/>
                <w:sz w:val="18"/>
                <w:szCs w:val="18"/>
                <w:lang w:eastAsia="it-IT"/>
              </w:rPr>
              <w:t> </w:t>
            </w:r>
          </w:p>
        </w:tc>
      </w:tr>
      <w:tr w:rsidR="00052555" w:rsidRPr="00052555" w:rsidTr="00052555">
        <w:trPr>
          <w:trHeight w:val="255"/>
        </w:trPr>
        <w:tc>
          <w:tcPr>
            <w:tcW w:w="5217"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8"/>
                <w:szCs w:val="18"/>
                <w:lang w:eastAsia="it-IT"/>
              </w:rPr>
            </w:pPr>
            <w:r w:rsidRPr="00052555">
              <w:rPr>
                <w:b/>
                <w:bCs/>
                <w:sz w:val="18"/>
                <w:szCs w:val="18"/>
                <w:lang w:eastAsia="it-IT"/>
              </w:rPr>
              <w:t> </w:t>
            </w:r>
          </w:p>
        </w:tc>
        <w:tc>
          <w:tcPr>
            <w:tcW w:w="19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center"/>
              <w:rPr>
                <w:b/>
                <w:bCs/>
                <w:sz w:val="18"/>
                <w:szCs w:val="18"/>
                <w:lang w:eastAsia="it-IT"/>
              </w:rPr>
            </w:pPr>
            <w:r w:rsidRPr="00052555">
              <w:rPr>
                <w:b/>
                <w:bCs/>
                <w:sz w:val="18"/>
                <w:szCs w:val="18"/>
                <w:lang w:eastAsia="it-IT"/>
              </w:rPr>
              <w:t> </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31/03/2015</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31/12/2014</w:t>
            </w:r>
          </w:p>
        </w:tc>
        <w:tc>
          <w:tcPr>
            <w:tcW w:w="98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 </w:t>
            </w:r>
          </w:p>
        </w:tc>
        <w:tc>
          <w:tcPr>
            <w:tcW w:w="106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 </w:t>
            </w:r>
          </w:p>
        </w:tc>
      </w:tr>
      <w:tr w:rsidR="00052555" w:rsidRPr="00052555" w:rsidTr="00052555">
        <w:trPr>
          <w:trHeight w:val="255"/>
        </w:trPr>
        <w:tc>
          <w:tcPr>
            <w:tcW w:w="5217" w:type="dxa"/>
            <w:tcBorders>
              <w:top w:val="nil"/>
              <w:left w:val="nil"/>
              <w:bottom w:val="nil"/>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Attività finanziarie non correnti per strumenti derivati</w:t>
            </w:r>
          </w:p>
        </w:tc>
        <w:tc>
          <w:tcPr>
            <w:tcW w:w="190" w:type="dxa"/>
            <w:tcBorders>
              <w:top w:val="nil"/>
              <w:left w:val="nil"/>
              <w:bottom w:val="nil"/>
              <w:right w:val="nil"/>
            </w:tcBorders>
            <w:shd w:val="clear" w:color="000000" w:fill="FFFFFF"/>
            <w:noWrap/>
            <w:vAlign w:val="bottom"/>
            <w:hideMark/>
          </w:tcPr>
          <w:p w:rsidR="00052555" w:rsidRPr="00052555" w:rsidRDefault="00052555" w:rsidP="00052555">
            <w:pPr>
              <w:widowControl/>
              <w:suppressAutoHyphens w:val="0"/>
              <w:jc w:val="center"/>
              <w:rPr>
                <w:b/>
                <w:bCs/>
                <w:sz w:val="18"/>
                <w:szCs w:val="18"/>
                <w:lang w:eastAsia="it-IT"/>
              </w:rPr>
            </w:pPr>
            <w:r w:rsidRPr="00052555">
              <w:rPr>
                <w:b/>
                <w:bCs/>
                <w:sz w:val="18"/>
                <w:szCs w:val="18"/>
                <w:lang w:eastAsia="it-IT"/>
              </w:rPr>
              <w:t> </w:t>
            </w:r>
          </w:p>
        </w:tc>
        <w:tc>
          <w:tcPr>
            <w:tcW w:w="1300" w:type="dxa"/>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w:t>
            </w:r>
          </w:p>
        </w:tc>
        <w:tc>
          <w:tcPr>
            <w:tcW w:w="1300" w:type="dxa"/>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w:t>
            </w:r>
          </w:p>
        </w:tc>
        <w:tc>
          <w:tcPr>
            <w:tcW w:w="980" w:type="dxa"/>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w:t>
            </w:r>
          </w:p>
        </w:tc>
        <w:tc>
          <w:tcPr>
            <w:tcW w:w="1060" w:type="dxa"/>
            <w:tcBorders>
              <w:top w:val="nil"/>
              <w:left w:val="nil"/>
              <w:bottom w:val="nil"/>
              <w:right w:val="nil"/>
            </w:tcBorders>
            <w:shd w:val="clear" w:color="000000" w:fill="FFFFFF"/>
            <w:noWrap/>
            <w:vAlign w:val="bottom"/>
            <w:hideMark/>
          </w:tcPr>
          <w:p w:rsidR="00052555" w:rsidRPr="00052555" w:rsidRDefault="00052555" w:rsidP="00052555">
            <w:pPr>
              <w:widowControl/>
              <w:suppressAutoHyphens w:val="0"/>
              <w:jc w:val="right"/>
              <w:rPr>
                <w:sz w:val="20"/>
                <w:szCs w:val="20"/>
                <w:lang w:eastAsia="it-IT"/>
              </w:rPr>
            </w:pPr>
            <w:r w:rsidRPr="00052555">
              <w:rPr>
                <w:sz w:val="20"/>
                <w:szCs w:val="20"/>
                <w:lang w:eastAsia="it-IT"/>
              </w:rPr>
              <w:t> </w:t>
            </w:r>
          </w:p>
        </w:tc>
      </w:tr>
      <w:tr w:rsidR="00052555" w:rsidRPr="00052555" w:rsidTr="00052555">
        <w:trPr>
          <w:trHeight w:val="255"/>
        </w:trPr>
        <w:tc>
          <w:tcPr>
            <w:tcW w:w="5217" w:type="dxa"/>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6"/>
                <w:szCs w:val="16"/>
                <w:lang w:eastAsia="it-IT"/>
              </w:rPr>
            </w:pPr>
            <w:r w:rsidRPr="00052555">
              <w:rPr>
                <w:b/>
                <w:bCs/>
                <w:sz w:val="16"/>
                <w:szCs w:val="16"/>
                <w:lang w:eastAsia="it-IT"/>
              </w:rPr>
              <w:t xml:space="preserve">TOTALE ATTIVITA' FINANZIARIE NON CORRENTI </w:t>
            </w:r>
          </w:p>
        </w:tc>
        <w:tc>
          <w:tcPr>
            <w:tcW w:w="190" w:type="dxa"/>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8"/>
                <w:szCs w:val="18"/>
                <w:lang w:eastAsia="it-IT"/>
              </w:rPr>
            </w:pPr>
            <w:r w:rsidRPr="00052555">
              <w:rPr>
                <w:b/>
                <w:bCs/>
                <w:sz w:val="18"/>
                <w:szCs w:val="18"/>
                <w:lang w:eastAsia="it-IT"/>
              </w:rPr>
              <w:t> </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w:t>
            </w:r>
          </w:p>
        </w:tc>
        <w:tc>
          <w:tcPr>
            <w:tcW w:w="98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w:t>
            </w:r>
          </w:p>
        </w:tc>
        <w:tc>
          <w:tcPr>
            <w:tcW w:w="1060" w:type="dxa"/>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20"/>
                <w:szCs w:val="20"/>
                <w:lang w:eastAsia="it-IT"/>
              </w:rPr>
            </w:pPr>
            <w:r w:rsidRPr="00052555">
              <w:rPr>
                <w:b/>
                <w:bCs/>
                <w:sz w:val="20"/>
                <w:szCs w:val="20"/>
                <w:lang w:eastAsia="it-IT"/>
              </w:rPr>
              <w:t> </w:t>
            </w:r>
          </w:p>
        </w:tc>
      </w:tr>
      <w:tr w:rsidR="00052555" w:rsidRPr="00052555" w:rsidTr="00052555">
        <w:trPr>
          <w:trHeight w:val="255"/>
        </w:trPr>
        <w:tc>
          <w:tcPr>
            <w:tcW w:w="5217"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Titoli</w:t>
            </w:r>
          </w:p>
        </w:tc>
        <w:tc>
          <w:tcPr>
            <w:tcW w:w="19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 </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w:t>
            </w:r>
          </w:p>
        </w:tc>
        <w:tc>
          <w:tcPr>
            <w:tcW w:w="98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w:t>
            </w:r>
          </w:p>
        </w:tc>
        <w:tc>
          <w:tcPr>
            <w:tcW w:w="106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20"/>
                <w:szCs w:val="20"/>
                <w:lang w:eastAsia="it-IT"/>
              </w:rPr>
            </w:pPr>
            <w:r w:rsidRPr="00052555">
              <w:rPr>
                <w:sz w:val="20"/>
                <w:szCs w:val="20"/>
                <w:lang w:eastAsia="it-IT"/>
              </w:rPr>
              <w:t> </w:t>
            </w:r>
          </w:p>
        </w:tc>
      </w:tr>
      <w:tr w:rsidR="00052555" w:rsidRPr="00052555" w:rsidTr="00052555">
        <w:trPr>
          <w:trHeight w:val="255"/>
        </w:trPr>
        <w:tc>
          <w:tcPr>
            <w:tcW w:w="5217"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 xml:space="preserve">Crediti finanziari </w:t>
            </w:r>
          </w:p>
        </w:tc>
        <w:tc>
          <w:tcPr>
            <w:tcW w:w="19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 </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2,7</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11,8</w:t>
            </w:r>
          </w:p>
        </w:tc>
        <w:tc>
          <w:tcPr>
            <w:tcW w:w="98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(9,1)</w:t>
            </w:r>
          </w:p>
        </w:tc>
        <w:tc>
          <w:tcPr>
            <w:tcW w:w="106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20"/>
                <w:szCs w:val="20"/>
                <w:lang w:eastAsia="it-IT"/>
              </w:rPr>
            </w:pPr>
            <w:r w:rsidRPr="00052555">
              <w:rPr>
                <w:sz w:val="20"/>
                <w:szCs w:val="20"/>
                <w:lang w:eastAsia="it-IT"/>
              </w:rPr>
              <w:t> </w:t>
            </w:r>
          </w:p>
        </w:tc>
      </w:tr>
      <w:tr w:rsidR="00052555" w:rsidRPr="00052555" w:rsidTr="00052555">
        <w:trPr>
          <w:trHeight w:val="255"/>
        </w:trPr>
        <w:tc>
          <w:tcPr>
            <w:tcW w:w="5217"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Attività finanziarie correnti per strumenti derivati</w:t>
            </w:r>
          </w:p>
        </w:tc>
        <w:tc>
          <w:tcPr>
            <w:tcW w:w="19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 </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w:t>
            </w:r>
          </w:p>
        </w:tc>
        <w:tc>
          <w:tcPr>
            <w:tcW w:w="98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 </w:t>
            </w:r>
          </w:p>
        </w:tc>
        <w:tc>
          <w:tcPr>
            <w:tcW w:w="106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20"/>
                <w:szCs w:val="20"/>
                <w:lang w:eastAsia="it-IT"/>
              </w:rPr>
            </w:pPr>
            <w:r w:rsidRPr="00052555">
              <w:rPr>
                <w:sz w:val="20"/>
                <w:szCs w:val="20"/>
                <w:lang w:eastAsia="it-IT"/>
              </w:rPr>
              <w:t> </w:t>
            </w:r>
          </w:p>
        </w:tc>
      </w:tr>
      <w:tr w:rsidR="00052555" w:rsidRPr="00052555" w:rsidTr="00052555">
        <w:trPr>
          <w:trHeight w:val="255"/>
        </w:trPr>
        <w:tc>
          <w:tcPr>
            <w:tcW w:w="5217"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8"/>
                <w:szCs w:val="18"/>
                <w:lang w:eastAsia="it-IT"/>
              </w:rPr>
            </w:pPr>
            <w:r w:rsidRPr="00052555">
              <w:rPr>
                <w:b/>
                <w:bCs/>
                <w:sz w:val="18"/>
                <w:szCs w:val="18"/>
                <w:lang w:eastAsia="it-IT"/>
              </w:rPr>
              <w:t>Crediti e attività finanziarie correnti</w:t>
            </w:r>
          </w:p>
        </w:tc>
        <w:tc>
          <w:tcPr>
            <w:tcW w:w="19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8"/>
                <w:szCs w:val="18"/>
                <w:lang w:eastAsia="it-IT"/>
              </w:rPr>
            </w:pPr>
            <w:r w:rsidRPr="00052555">
              <w:rPr>
                <w:b/>
                <w:bCs/>
                <w:sz w:val="18"/>
                <w:szCs w:val="18"/>
                <w:lang w:eastAsia="it-IT"/>
              </w:rPr>
              <w:t> </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2,7</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11,8</w:t>
            </w:r>
          </w:p>
        </w:tc>
        <w:tc>
          <w:tcPr>
            <w:tcW w:w="98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(9,1)</w:t>
            </w:r>
          </w:p>
        </w:tc>
        <w:tc>
          <w:tcPr>
            <w:tcW w:w="106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 </w:t>
            </w:r>
          </w:p>
        </w:tc>
      </w:tr>
      <w:tr w:rsidR="00052555" w:rsidRPr="00052555" w:rsidTr="00052555">
        <w:trPr>
          <w:trHeight w:val="255"/>
        </w:trPr>
        <w:tc>
          <w:tcPr>
            <w:tcW w:w="5217"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Disponibilità liquide e mezzi equivalenti</w:t>
            </w:r>
          </w:p>
        </w:tc>
        <w:tc>
          <w:tcPr>
            <w:tcW w:w="19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 </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13,1</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13,7</w:t>
            </w:r>
          </w:p>
        </w:tc>
        <w:tc>
          <w:tcPr>
            <w:tcW w:w="98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(0,6)</w:t>
            </w:r>
          </w:p>
        </w:tc>
        <w:tc>
          <w:tcPr>
            <w:tcW w:w="106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20"/>
                <w:szCs w:val="20"/>
                <w:lang w:eastAsia="it-IT"/>
              </w:rPr>
            </w:pPr>
            <w:r w:rsidRPr="00052555">
              <w:rPr>
                <w:sz w:val="20"/>
                <w:szCs w:val="20"/>
                <w:lang w:eastAsia="it-IT"/>
              </w:rPr>
              <w:t> </w:t>
            </w:r>
          </w:p>
        </w:tc>
      </w:tr>
      <w:tr w:rsidR="00052555" w:rsidRPr="00052555" w:rsidTr="00052555">
        <w:trPr>
          <w:trHeight w:val="255"/>
        </w:trPr>
        <w:tc>
          <w:tcPr>
            <w:tcW w:w="5217"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6"/>
                <w:szCs w:val="16"/>
                <w:lang w:eastAsia="it-IT"/>
              </w:rPr>
            </w:pPr>
            <w:r w:rsidRPr="00052555">
              <w:rPr>
                <w:b/>
                <w:bCs/>
                <w:sz w:val="16"/>
                <w:szCs w:val="16"/>
                <w:lang w:eastAsia="it-IT"/>
              </w:rPr>
              <w:t>TOTALE ATTIVITA' FINANZIARIE CORRENTI</w:t>
            </w:r>
          </w:p>
        </w:tc>
        <w:tc>
          <w:tcPr>
            <w:tcW w:w="19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8"/>
                <w:szCs w:val="18"/>
                <w:lang w:eastAsia="it-IT"/>
              </w:rPr>
            </w:pPr>
            <w:r w:rsidRPr="00052555">
              <w:rPr>
                <w:b/>
                <w:bCs/>
                <w:sz w:val="18"/>
                <w:szCs w:val="18"/>
                <w:lang w:eastAsia="it-IT"/>
              </w:rPr>
              <w:t> </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15,8</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25,5</w:t>
            </w:r>
          </w:p>
        </w:tc>
        <w:tc>
          <w:tcPr>
            <w:tcW w:w="98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(9,7)</w:t>
            </w:r>
          </w:p>
        </w:tc>
        <w:tc>
          <w:tcPr>
            <w:tcW w:w="106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 </w:t>
            </w:r>
          </w:p>
        </w:tc>
      </w:tr>
      <w:tr w:rsidR="00052555" w:rsidRPr="00052555" w:rsidTr="00052555">
        <w:trPr>
          <w:trHeight w:val="255"/>
        </w:trPr>
        <w:tc>
          <w:tcPr>
            <w:tcW w:w="5217"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Debiti e passività non correnti finanziarie</w:t>
            </w:r>
          </w:p>
        </w:tc>
        <w:tc>
          <w:tcPr>
            <w:tcW w:w="19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 </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(432,6)</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(393,8)</w:t>
            </w:r>
          </w:p>
        </w:tc>
        <w:tc>
          <w:tcPr>
            <w:tcW w:w="98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(38,8)</w:t>
            </w:r>
          </w:p>
        </w:tc>
        <w:tc>
          <w:tcPr>
            <w:tcW w:w="106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20"/>
                <w:szCs w:val="20"/>
                <w:lang w:eastAsia="it-IT"/>
              </w:rPr>
            </w:pPr>
            <w:r w:rsidRPr="00052555">
              <w:rPr>
                <w:sz w:val="20"/>
                <w:szCs w:val="20"/>
                <w:lang w:eastAsia="it-IT"/>
              </w:rPr>
              <w:t> </w:t>
            </w:r>
          </w:p>
        </w:tc>
      </w:tr>
      <w:tr w:rsidR="00052555" w:rsidRPr="00052555" w:rsidTr="00052555">
        <w:trPr>
          <w:trHeight w:val="255"/>
        </w:trPr>
        <w:tc>
          <w:tcPr>
            <w:tcW w:w="5217"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Passività finanziarie non correnti per strumenti derivati</w:t>
            </w:r>
          </w:p>
        </w:tc>
        <w:tc>
          <w:tcPr>
            <w:tcW w:w="19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 </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(15,5)</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(16,5)</w:t>
            </w:r>
          </w:p>
        </w:tc>
        <w:tc>
          <w:tcPr>
            <w:tcW w:w="98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1,0</w:t>
            </w:r>
          </w:p>
        </w:tc>
        <w:tc>
          <w:tcPr>
            <w:tcW w:w="106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20"/>
                <w:szCs w:val="20"/>
                <w:lang w:eastAsia="it-IT"/>
              </w:rPr>
            </w:pPr>
            <w:r w:rsidRPr="00052555">
              <w:rPr>
                <w:sz w:val="20"/>
                <w:szCs w:val="20"/>
                <w:lang w:eastAsia="it-IT"/>
              </w:rPr>
              <w:t> </w:t>
            </w:r>
          </w:p>
        </w:tc>
      </w:tr>
      <w:tr w:rsidR="00052555" w:rsidRPr="00052555" w:rsidTr="00052555">
        <w:trPr>
          <w:trHeight w:val="255"/>
        </w:trPr>
        <w:tc>
          <w:tcPr>
            <w:tcW w:w="5217"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6"/>
                <w:szCs w:val="16"/>
                <w:lang w:eastAsia="it-IT"/>
              </w:rPr>
            </w:pPr>
            <w:r w:rsidRPr="00052555">
              <w:rPr>
                <w:b/>
                <w:bCs/>
                <w:sz w:val="16"/>
                <w:szCs w:val="16"/>
                <w:lang w:eastAsia="it-IT"/>
              </w:rPr>
              <w:t>TOTALE PASSIVITA' FINANZIARIE NON CORRENTI</w:t>
            </w:r>
          </w:p>
        </w:tc>
        <w:tc>
          <w:tcPr>
            <w:tcW w:w="19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8"/>
                <w:szCs w:val="18"/>
                <w:lang w:eastAsia="it-IT"/>
              </w:rPr>
            </w:pPr>
            <w:r w:rsidRPr="00052555">
              <w:rPr>
                <w:b/>
                <w:bCs/>
                <w:sz w:val="18"/>
                <w:szCs w:val="18"/>
                <w:lang w:eastAsia="it-IT"/>
              </w:rPr>
              <w:t> </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(448,1)</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(410,3)</w:t>
            </w:r>
          </w:p>
        </w:tc>
        <w:tc>
          <w:tcPr>
            <w:tcW w:w="98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(37,8)</w:t>
            </w:r>
          </w:p>
        </w:tc>
        <w:tc>
          <w:tcPr>
            <w:tcW w:w="106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 </w:t>
            </w:r>
          </w:p>
        </w:tc>
      </w:tr>
      <w:tr w:rsidR="00052555" w:rsidRPr="00052555" w:rsidTr="00052555">
        <w:trPr>
          <w:trHeight w:val="255"/>
        </w:trPr>
        <w:tc>
          <w:tcPr>
            <w:tcW w:w="5217"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Debiti e passività correnti finanziarie</w:t>
            </w:r>
          </w:p>
        </w:tc>
        <w:tc>
          <w:tcPr>
            <w:tcW w:w="19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 </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(75,2)</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(97,7)</w:t>
            </w:r>
          </w:p>
        </w:tc>
        <w:tc>
          <w:tcPr>
            <w:tcW w:w="98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22,5</w:t>
            </w:r>
          </w:p>
        </w:tc>
        <w:tc>
          <w:tcPr>
            <w:tcW w:w="106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20"/>
                <w:szCs w:val="20"/>
                <w:lang w:eastAsia="it-IT"/>
              </w:rPr>
            </w:pPr>
            <w:r w:rsidRPr="00052555">
              <w:rPr>
                <w:sz w:val="20"/>
                <w:szCs w:val="20"/>
                <w:lang w:eastAsia="it-IT"/>
              </w:rPr>
              <w:t> </w:t>
            </w:r>
          </w:p>
        </w:tc>
      </w:tr>
      <w:tr w:rsidR="00052555" w:rsidRPr="00052555" w:rsidTr="00052555">
        <w:trPr>
          <w:trHeight w:val="255"/>
        </w:trPr>
        <w:tc>
          <w:tcPr>
            <w:tcW w:w="5217"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Passività finanziarie correnti per strumenti derivati</w:t>
            </w:r>
          </w:p>
        </w:tc>
        <w:tc>
          <w:tcPr>
            <w:tcW w:w="19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 </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w:t>
            </w:r>
          </w:p>
        </w:tc>
        <w:tc>
          <w:tcPr>
            <w:tcW w:w="98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18"/>
                <w:szCs w:val="18"/>
                <w:lang w:eastAsia="it-IT"/>
              </w:rPr>
            </w:pPr>
            <w:r w:rsidRPr="00052555">
              <w:rPr>
                <w:sz w:val="18"/>
                <w:szCs w:val="18"/>
                <w:lang w:eastAsia="it-IT"/>
              </w:rPr>
              <w:t>-</w:t>
            </w:r>
          </w:p>
        </w:tc>
        <w:tc>
          <w:tcPr>
            <w:tcW w:w="106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sz w:val="20"/>
                <w:szCs w:val="20"/>
                <w:lang w:eastAsia="it-IT"/>
              </w:rPr>
            </w:pPr>
            <w:r w:rsidRPr="00052555">
              <w:rPr>
                <w:sz w:val="20"/>
                <w:szCs w:val="20"/>
                <w:lang w:eastAsia="it-IT"/>
              </w:rPr>
              <w:t> </w:t>
            </w:r>
          </w:p>
        </w:tc>
      </w:tr>
      <w:tr w:rsidR="00052555" w:rsidRPr="00052555" w:rsidTr="00052555">
        <w:trPr>
          <w:trHeight w:val="255"/>
        </w:trPr>
        <w:tc>
          <w:tcPr>
            <w:tcW w:w="5217"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6"/>
                <w:szCs w:val="16"/>
                <w:lang w:eastAsia="it-IT"/>
              </w:rPr>
            </w:pPr>
            <w:r w:rsidRPr="00052555">
              <w:rPr>
                <w:b/>
                <w:bCs/>
                <w:sz w:val="16"/>
                <w:szCs w:val="16"/>
                <w:lang w:eastAsia="it-IT"/>
              </w:rPr>
              <w:t>TOTALE PASSIVITA' FINANZIARIE CORRENTI</w:t>
            </w:r>
          </w:p>
        </w:tc>
        <w:tc>
          <w:tcPr>
            <w:tcW w:w="19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8"/>
                <w:szCs w:val="18"/>
                <w:lang w:eastAsia="it-IT"/>
              </w:rPr>
            </w:pPr>
            <w:r w:rsidRPr="00052555">
              <w:rPr>
                <w:b/>
                <w:bCs/>
                <w:sz w:val="18"/>
                <w:szCs w:val="18"/>
                <w:lang w:eastAsia="it-IT"/>
              </w:rPr>
              <w:t> </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(75,2)</w:t>
            </w:r>
          </w:p>
        </w:tc>
        <w:tc>
          <w:tcPr>
            <w:tcW w:w="130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(97,7)</w:t>
            </w:r>
          </w:p>
        </w:tc>
        <w:tc>
          <w:tcPr>
            <w:tcW w:w="98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22,5</w:t>
            </w:r>
          </w:p>
        </w:tc>
        <w:tc>
          <w:tcPr>
            <w:tcW w:w="1060" w:type="dxa"/>
            <w:tcBorders>
              <w:top w:val="nil"/>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 </w:t>
            </w:r>
          </w:p>
        </w:tc>
      </w:tr>
      <w:tr w:rsidR="00052555" w:rsidRPr="00052555" w:rsidTr="00052555">
        <w:trPr>
          <w:trHeight w:val="120"/>
        </w:trPr>
        <w:tc>
          <w:tcPr>
            <w:tcW w:w="5217" w:type="dxa"/>
            <w:tcBorders>
              <w:top w:val="nil"/>
              <w:left w:val="nil"/>
              <w:bottom w:val="nil"/>
              <w:right w:val="nil"/>
            </w:tcBorders>
            <w:shd w:val="clear" w:color="000000" w:fill="FFFFFF"/>
            <w:noWrap/>
            <w:vAlign w:val="bottom"/>
            <w:hideMark/>
          </w:tcPr>
          <w:p w:rsidR="00052555" w:rsidRDefault="00052555" w:rsidP="00052555">
            <w:pPr>
              <w:widowControl/>
              <w:suppressAutoHyphens w:val="0"/>
              <w:rPr>
                <w:sz w:val="18"/>
                <w:szCs w:val="18"/>
                <w:lang w:eastAsia="it-IT"/>
              </w:rPr>
            </w:pPr>
          </w:p>
          <w:p w:rsidR="00052555" w:rsidRPr="00052555" w:rsidRDefault="00052555" w:rsidP="00052555">
            <w:pPr>
              <w:widowControl/>
              <w:suppressAutoHyphens w:val="0"/>
              <w:rPr>
                <w:sz w:val="18"/>
                <w:szCs w:val="18"/>
                <w:lang w:eastAsia="it-IT"/>
              </w:rPr>
            </w:pPr>
            <w:r w:rsidRPr="00052555">
              <w:rPr>
                <w:sz w:val="18"/>
                <w:szCs w:val="18"/>
                <w:lang w:eastAsia="it-IT"/>
              </w:rPr>
              <w:t> </w:t>
            </w:r>
          </w:p>
        </w:tc>
        <w:tc>
          <w:tcPr>
            <w:tcW w:w="190" w:type="dxa"/>
            <w:tcBorders>
              <w:top w:val="nil"/>
              <w:left w:val="nil"/>
              <w:bottom w:val="nil"/>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 </w:t>
            </w:r>
          </w:p>
        </w:tc>
        <w:tc>
          <w:tcPr>
            <w:tcW w:w="1300" w:type="dxa"/>
            <w:tcBorders>
              <w:top w:val="nil"/>
              <w:left w:val="nil"/>
              <w:bottom w:val="nil"/>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 </w:t>
            </w:r>
          </w:p>
        </w:tc>
        <w:tc>
          <w:tcPr>
            <w:tcW w:w="1300" w:type="dxa"/>
            <w:tcBorders>
              <w:top w:val="nil"/>
              <w:left w:val="nil"/>
              <w:bottom w:val="nil"/>
              <w:right w:val="nil"/>
            </w:tcBorders>
            <w:shd w:val="clear" w:color="000000" w:fill="FFFFFF"/>
            <w:noWrap/>
            <w:vAlign w:val="bottom"/>
            <w:hideMark/>
          </w:tcPr>
          <w:p w:rsidR="00052555" w:rsidRPr="00052555" w:rsidRDefault="00052555" w:rsidP="00052555">
            <w:pPr>
              <w:widowControl/>
              <w:suppressAutoHyphens w:val="0"/>
              <w:rPr>
                <w:sz w:val="18"/>
                <w:szCs w:val="18"/>
                <w:lang w:eastAsia="it-IT"/>
              </w:rPr>
            </w:pPr>
            <w:r w:rsidRPr="00052555">
              <w:rPr>
                <w:sz w:val="18"/>
                <w:szCs w:val="18"/>
                <w:lang w:eastAsia="it-IT"/>
              </w:rPr>
              <w:t> </w:t>
            </w:r>
          </w:p>
        </w:tc>
        <w:tc>
          <w:tcPr>
            <w:tcW w:w="980" w:type="dxa"/>
            <w:tcBorders>
              <w:top w:val="nil"/>
              <w:left w:val="nil"/>
              <w:bottom w:val="nil"/>
              <w:right w:val="nil"/>
            </w:tcBorders>
            <w:shd w:val="clear" w:color="000000" w:fill="FFFFFF"/>
            <w:noWrap/>
            <w:vAlign w:val="bottom"/>
            <w:hideMark/>
          </w:tcPr>
          <w:p w:rsidR="00052555" w:rsidRPr="00052555" w:rsidRDefault="00052555" w:rsidP="00052555">
            <w:pPr>
              <w:widowControl/>
              <w:suppressAutoHyphens w:val="0"/>
              <w:rPr>
                <w:sz w:val="20"/>
                <w:szCs w:val="20"/>
                <w:lang w:eastAsia="it-IT"/>
              </w:rPr>
            </w:pPr>
            <w:r w:rsidRPr="00052555">
              <w:rPr>
                <w:sz w:val="20"/>
                <w:szCs w:val="20"/>
                <w:lang w:eastAsia="it-IT"/>
              </w:rPr>
              <w:t> </w:t>
            </w:r>
          </w:p>
        </w:tc>
        <w:tc>
          <w:tcPr>
            <w:tcW w:w="1060" w:type="dxa"/>
            <w:tcBorders>
              <w:top w:val="nil"/>
              <w:left w:val="nil"/>
              <w:bottom w:val="nil"/>
              <w:right w:val="nil"/>
            </w:tcBorders>
            <w:shd w:val="clear" w:color="000000" w:fill="FFFFFF"/>
            <w:noWrap/>
            <w:vAlign w:val="bottom"/>
            <w:hideMark/>
          </w:tcPr>
          <w:p w:rsidR="00052555" w:rsidRPr="00052555" w:rsidRDefault="00052555" w:rsidP="00052555">
            <w:pPr>
              <w:widowControl/>
              <w:suppressAutoHyphens w:val="0"/>
              <w:rPr>
                <w:sz w:val="20"/>
                <w:szCs w:val="20"/>
                <w:lang w:eastAsia="it-IT"/>
              </w:rPr>
            </w:pPr>
            <w:r w:rsidRPr="00052555">
              <w:rPr>
                <w:sz w:val="20"/>
                <w:szCs w:val="20"/>
                <w:lang w:eastAsia="it-IT"/>
              </w:rPr>
              <w:t> </w:t>
            </w:r>
          </w:p>
        </w:tc>
      </w:tr>
      <w:tr w:rsidR="00052555" w:rsidRPr="00052555" w:rsidTr="00052555">
        <w:trPr>
          <w:trHeight w:val="255"/>
        </w:trPr>
        <w:tc>
          <w:tcPr>
            <w:tcW w:w="5217" w:type="dxa"/>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8"/>
                <w:szCs w:val="18"/>
                <w:lang w:eastAsia="it-IT"/>
              </w:rPr>
            </w:pPr>
            <w:r w:rsidRPr="00052555">
              <w:rPr>
                <w:b/>
                <w:bCs/>
                <w:sz w:val="18"/>
                <w:szCs w:val="18"/>
                <w:lang w:eastAsia="it-IT"/>
              </w:rPr>
              <w:t>Indebitamento Finanziario Netto Complessivo (1)</w:t>
            </w:r>
          </w:p>
        </w:tc>
        <w:tc>
          <w:tcPr>
            <w:tcW w:w="190" w:type="dxa"/>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rPr>
                <w:b/>
                <w:bCs/>
                <w:sz w:val="18"/>
                <w:szCs w:val="18"/>
                <w:lang w:eastAsia="it-IT"/>
              </w:rPr>
            </w:pPr>
            <w:r w:rsidRPr="00052555">
              <w:rPr>
                <w:b/>
                <w:bCs/>
                <w:sz w:val="18"/>
                <w:szCs w:val="18"/>
                <w:lang w:eastAsia="it-IT"/>
              </w:rPr>
              <w:t> </w:t>
            </w:r>
          </w:p>
        </w:tc>
        <w:tc>
          <w:tcPr>
            <w:tcW w:w="1300" w:type="dxa"/>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(507,5)</w:t>
            </w:r>
          </w:p>
        </w:tc>
        <w:tc>
          <w:tcPr>
            <w:tcW w:w="1300" w:type="dxa"/>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(482,5)</w:t>
            </w:r>
          </w:p>
        </w:tc>
        <w:tc>
          <w:tcPr>
            <w:tcW w:w="980" w:type="dxa"/>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(25,0)</w:t>
            </w:r>
          </w:p>
        </w:tc>
        <w:tc>
          <w:tcPr>
            <w:tcW w:w="1060" w:type="dxa"/>
            <w:tcBorders>
              <w:top w:val="single" w:sz="4" w:space="0" w:color="auto"/>
              <w:left w:val="nil"/>
              <w:bottom w:val="single" w:sz="4" w:space="0" w:color="auto"/>
              <w:right w:val="nil"/>
            </w:tcBorders>
            <w:shd w:val="clear" w:color="000000" w:fill="FFFFFF"/>
            <w:noWrap/>
            <w:vAlign w:val="bottom"/>
            <w:hideMark/>
          </w:tcPr>
          <w:p w:rsidR="00052555" w:rsidRPr="00052555" w:rsidRDefault="00052555" w:rsidP="00052555">
            <w:pPr>
              <w:widowControl/>
              <w:suppressAutoHyphens w:val="0"/>
              <w:jc w:val="right"/>
              <w:rPr>
                <w:b/>
                <w:bCs/>
                <w:sz w:val="18"/>
                <w:szCs w:val="18"/>
                <w:lang w:eastAsia="it-IT"/>
              </w:rPr>
            </w:pPr>
            <w:r w:rsidRPr="00052555">
              <w:rPr>
                <w:b/>
                <w:bCs/>
                <w:sz w:val="18"/>
                <w:szCs w:val="18"/>
                <w:lang w:eastAsia="it-IT"/>
              </w:rPr>
              <w:t> </w:t>
            </w:r>
          </w:p>
        </w:tc>
      </w:tr>
      <w:tr w:rsidR="00052555" w:rsidRPr="00052555" w:rsidTr="00052555">
        <w:trPr>
          <w:trHeight w:val="450"/>
        </w:trPr>
        <w:tc>
          <w:tcPr>
            <w:tcW w:w="5217" w:type="dxa"/>
            <w:tcBorders>
              <w:top w:val="nil"/>
              <w:left w:val="nil"/>
              <w:bottom w:val="nil"/>
              <w:right w:val="nil"/>
            </w:tcBorders>
            <w:shd w:val="clear" w:color="000000" w:fill="FFFFFF"/>
            <w:noWrap/>
            <w:vAlign w:val="bottom"/>
            <w:hideMark/>
          </w:tcPr>
          <w:p w:rsidR="00052555" w:rsidRPr="00052555" w:rsidRDefault="00052555" w:rsidP="00052555">
            <w:pPr>
              <w:widowControl/>
              <w:suppressAutoHyphens w:val="0"/>
              <w:rPr>
                <w:sz w:val="20"/>
                <w:szCs w:val="20"/>
                <w:lang w:eastAsia="it-IT"/>
              </w:rPr>
            </w:pPr>
            <w:r w:rsidRPr="00052555">
              <w:rPr>
                <w:sz w:val="20"/>
                <w:szCs w:val="20"/>
                <w:lang w:eastAsia="it-IT"/>
              </w:rPr>
              <w:t> </w:t>
            </w:r>
          </w:p>
        </w:tc>
        <w:tc>
          <w:tcPr>
            <w:tcW w:w="190" w:type="dxa"/>
            <w:tcBorders>
              <w:top w:val="nil"/>
              <w:left w:val="nil"/>
              <w:bottom w:val="nil"/>
              <w:right w:val="nil"/>
            </w:tcBorders>
            <w:shd w:val="clear" w:color="000000" w:fill="FFFFFF"/>
            <w:noWrap/>
            <w:vAlign w:val="bottom"/>
            <w:hideMark/>
          </w:tcPr>
          <w:p w:rsidR="00052555" w:rsidRPr="00052555" w:rsidRDefault="00052555" w:rsidP="00052555">
            <w:pPr>
              <w:widowControl/>
              <w:suppressAutoHyphens w:val="0"/>
              <w:rPr>
                <w:sz w:val="20"/>
                <w:szCs w:val="20"/>
                <w:lang w:eastAsia="it-IT"/>
              </w:rPr>
            </w:pPr>
            <w:r w:rsidRPr="00052555">
              <w:rPr>
                <w:sz w:val="20"/>
                <w:szCs w:val="20"/>
                <w:lang w:eastAsia="it-IT"/>
              </w:rPr>
              <w:t> </w:t>
            </w:r>
          </w:p>
        </w:tc>
        <w:tc>
          <w:tcPr>
            <w:tcW w:w="1300" w:type="dxa"/>
            <w:tcBorders>
              <w:top w:val="nil"/>
              <w:left w:val="nil"/>
              <w:bottom w:val="nil"/>
              <w:right w:val="nil"/>
            </w:tcBorders>
            <w:shd w:val="clear" w:color="000000" w:fill="FFFFFF"/>
            <w:noWrap/>
            <w:vAlign w:val="bottom"/>
            <w:hideMark/>
          </w:tcPr>
          <w:p w:rsidR="00052555" w:rsidRPr="00052555" w:rsidRDefault="00052555" w:rsidP="00052555">
            <w:pPr>
              <w:widowControl/>
              <w:suppressAutoHyphens w:val="0"/>
              <w:rPr>
                <w:sz w:val="20"/>
                <w:szCs w:val="20"/>
                <w:lang w:eastAsia="it-IT"/>
              </w:rPr>
            </w:pPr>
            <w:r w:rsidRPr="00052555">
              <w:rPr>
                <w:sz w:val="20"/>
                <w:szCs w:val="20"/>
                <w:lang w:eastAsia="it-IT"/>
              </w:rPr>
              <w:t> </w:t>
            </w:r>
          </w:p>
        </w:tc>
        <w:tc>
          <w:tcPr>
            <w:tcW w:w="1300" w:type="dxa"/>
            <w:tcBorders>
              <w:top w:val="nil"/>
              <w:left w:val="nil"/>
              <w:bottom w:val="nil"/>
              <w:right w:val="nil"/>
            </w:tcBorders>
            <w:shd w:val="clear" w:color="000000" w:fill="FFFFFF"/>
            <w:noWrap/>
            <w:vAlign w:val="bottom"/>
            <w:hideMark/>
          </w:tcPr>
          <w:p w:rsidR="00052555" w:rsidRPr="00052555" w:rsidRDefault="00052555" w:rsidP="00052555">
            <w:pPr>
              <w:widowControl/>
              <w:suppressAutoHyphens w:val="0"/>
              <w:rPr>
                <w:sz w:val="20"/>
                <w:szCs w:val="20"/>
                <w:lang w:eastAsia="it-IT"/>
              </w:rPr>
            </w:pPr>
            <w:r w:rsidRPr="00052555">
              <w:rPr>
                <w:sz w:val="20"/>
                <w:szCs w:val="20"/>
                <w:lang w:eastAsia="it-IT"/>
              </w:rPr>
              <w:t> </w:t>
            </w:r>
          </w:p>
        </w:tc>
        <w:tc>
          <w:tcPr>
            <w:tcW w:w="980" w:type="dxa"/>
            <w:tcBorders>
              <w:top w:val="nil"/>
              <w:left w:val="nil"/>
              <w:bottom w:val="nil"/>
              <w:right w:val="nil"/>
            </w:tcBorders>
            <w:shd w:val="clear" w:color="000000" w:fill="FFFFFF"/>
            <w:noWrap/>
            <w:vAlign w:val="bottom"/>
            <w:hideMark/>
          </w:tcPr>
          <w:p w:rsidR="00052555" w:rsidRPr="00052555" w:rsidRDefault="00052555" w:rsidP="00052555">
            <w:pPr>
              <w:widowControl/>
              <w:suppressAutoHyphens w:val="0"/>
              <w:rPr>
                <w:sz w:val="20"/>
                <w:szCs w:val="20"/>
                <w:lang w:eastAsia="it-IT"/>
              </w:rPr>
            </w:pPr>
            <w:r w:rsidRPr="00052555">
              <w:rPr>
                <w:sz w:val="20"/>
                <w:szCs w:val="20"/>
                <w:lang w:eastAsia="it-IT"/>
              </w:rPr>
              <w:t> </w:t>
            </w:r>
          </w:p>
        </w:tc>
        <w:tc>
          <w:tcPr>
            <w:tcW w:w="1060" w:type="dxa"/>
            <w:tcBorders>
              <w:top w:val="nil"/>
              <w:left w:val="nil"/>
              <w:bottom w:val="nil"/>
              <w:right w:val="nil"/>
            </w:tcBorders>
            <w:shd w:val="clear" w:color="000000" w:fill="FFFFFF"/>
            <w:noWrap/>
            <w:vAlign w:val="bottom"/>
            <w:hideMark/>
          </w:tcPr>
          <w:p w:rsidR="00052555" w:rsidRPr="00052555" w:rsidRDefault="00052555" w:rsidP="00052555">
            <w:pPr>
              <w:widowControl/>
              <w:suppressAutoHyphens w:val="0"/>
              <w:rPr>
                <w:sz w:val="20"/>
                <w:szCs w:val="20"/>
                <w:lang w:eastAsia="it-IT"/>
              </w:rPr>
            </w:pPr>
            <w:r w:rsidRPr="00052555">
              <w:rPr>
                <w:sz w:val="20"/>
                <w:szCs w:val="20"/>
                <w:lang w:eastAsia="it-IT"/>
              </w:rPr>
              <w:t> </w:t>
            </w:r>
          </w:p>
        </w:tc>
      </w:tr>
    </w:tbl>
    <w:p w:rsidR="00923BDC" w:rsidRPr="00CF369C" w:rsidRDefault="00923BDC" w:rsidP="00923BDC">
      <w:pPr>
        <w:pStyle w:val="note"/>
        <w:tabs>
          <w:tab w:val="left" w:pos="9720"/>
        </w:tabs>
      </w:pPr>
      <w:r>
        <w:t xml:space="preserve">1) </w:t>
      </w:r>
      <w:r w:rsidRPr="00CF369C">
        <w:t xml:space="preserve">Indicatore della struttura finanziaria determinato quale risultante dei debiti finanziari correnti e non correnti al netto delle disponibilità liquide e mezzi equivalenti nonché delle attività finanziarie correnti e delle attività finanziarie non correnti relative agli strumenti derivati. La posizione finanziaria netta definita dalla comunicazione CONSOB DEM/6064293 del 28 luglio 2006 esclude le attività finanziarie non correnti. Le attività finanziarie non correnti al 31 marzo 2015 e al 31 dicembre 2014 sono pari a zero e pertanto l’indicatore finanziario di RCS al 31 marzo 2015 e al 31 dicembre 2014, coincide con la posizione finanziaria netta così come definita dalla sopra citata comunicazione CONSOB. </w:t>
      </w:r>
    </w:p>
    <w:p w:rsidR="00923BDC" w:rsidRPr="00845BE8" w:rsidRDefault="00923BDC" w:rsidP="00923BDC">
      <w:pPr>
        <w:pStyle w:val="note"/>
        <w:tabs>
          <w:tab w:val="left" w:pos="9720"/>
        </w:tabs>
        <w:rPr>
          <w:highlight w:val="yellow"/>
        </w:rPr>
      </w:pPr>
    </w:p>
    <w:p w:rsidR="00923BDC" w:rsidRPr="00845BE8" w:rsidRDefault="00923BDC" w:rsidP="00923BDC">
      <w:pPr>
        <w:pStyle w:val="note"/>
        <w:tabs>
          <w:tab w:val="left" w:pos="9720"/>
        </w:tabs>
        <w:rPr>
          <w:highlight w:val="yellow"/>
        </w:rPr>
      </w:pPr>
    </w:p>
    <w:p w:rsidR="00923BDC" w:rsidRPr="00052555" w:rsidRDefault="00923BDC" w:rsidP="00923BDC">
      <w:pPr>
        <w:rPr>
          <w:rFonts w:ascii="Calibri" w:hAnsi="Calibri"/>
          <w:sz w:val="22"/>
          <w:szCs w:val="22"/>
        </w:rPr>
      </w:pPr>
      <w:r w:rsidRPr="00052555">
        <w:rPr>
          <w:sz w:val="22"/>
          <w:szCs w:val="22"/>
        </w:rPr>
        <w:t>La posizione finanziaria netta al 31 marzo 2015 è negativa per 507,5 milioni e registra un incremento rispetto al 31 dicembre 2014 di 25 milioni, dovuto essenzialmente agli esborsi relativi ai nuovi investimenti e ad oneri non ricorrenti. La gestione tipica corrente ha ridotto di 25 milioni (Fonte: Management Reporting) l’assorbimento di cassa stagionale rispetto al primo trimestre 2014.</w:t>
      </w:r>
    </w:p>
    <w:p w:rsidR="00052555" w:rsidRDefault="00052555" w:rsidP="00923BDC">
      <w:pPr>
        <w:pStyle w:val="Paragrafoelenco"/>
        <w:ind w:left="0"/>
        <w:rPr>
          <w:sz w:val="22"/>
          <w:szCs w:val="22"/>
        </w:rPr>
      </w:pPr>
    </w:p>
    <w:p w:rsidR="00052555" w:rsidRDefault="00052555" w:rsidP="00923BDC">
      <w:pPr>
        <w:pStyle w:val="Paragrafoelenco"/>
        <w:ind w:left="0"/>
        <w:rPr>
          <w:sz w:val="22"/>
          <w:szCs w:val="22"/>
        </w:rPr>
      </w:pPr>
    </w:p>
    <w:p w:rsidR="00052555" w:rsidRDefault="00052555" w:rsidP="00923BDC">
      <w:pPr>
        <w:pStyle w:val="Paragrafoelenco"/>
        <w:ind w:left="0"/>
        <w:rPr>
          <w:sz w:val="22"/>
          <w:szCs w:val="22"/>
        </w:rPr>
      </w:pPr>
    </w:p>
    <w:p w:rsidR="00052555" w:rsidRDefault="00052555" w:rsidP="00923BDC">
      <w:pPr>
        <w:pStyle w:val="Paragrafoelenco"/>
        <w:ind w:left="0"/>
        <w:rPr>
          <w:sz w:val="22"/>
          <w:szCs w:val="22"/>
        </w:rPr>
      </w:pPr>
    </w:p>
    <w:p w:rsidR="00052555" w:rsidRDefault="00052555" w:rsidP="00923BDC">
      <w:pPr>
        <w:pStyle w:val="Paragrafoelenco"/>
        <w:ind w:left="0"/>
        <w:rPr>
          <w:sz w:val="22"/>
          <w:szCs w:val="22"/>
        </w:rPr>
      </w:pPr>
    </w:p>
    <w:p w:rsidR="00052555" w:rsidRDefault="00052555" w:rsidP="00923BDC">
      <w:pPr>
        <w:pStyle w:val="Paragrafoelenco"/>
        <w:ind w:left="0"/>
        <w:rPr>
          <w:sz w:val="22"/>
          <w:szCs w:val="22"/>
        </w:rPr>
      </w:pPr>
    </w:p>
    <w:p w:rsidR="00052555" w:rsidRDefault="00052555" w:rsidP="00923BDC">
      <w:pPr>
        <w:pStyle w:val="Paragrafoelenco"/>
        <w:ind w:left="0"/>
        <w:rPr>
          <w:sz w:val="22"/>
          <w:szCs w:val="22"/>
        </w:rPr>
      </w:pPr>
    </w:p>
    <w:p w:rsidR="00052555" w:rsidRDefault="00052555" w:rsidP="00923BDC">
      <w:pPr>
        <w:pStyle w:val="Paragrafoelenco"/>
        <w:ind w:left="0"/>
        <w:rPr>
          <w:sz w:val="22"/>
          <w:szCs w:val="22"/>
        </w:rPr>
      </w:pPr>
    </w:p>
    <w:p w:rsidR="00052555" w:rsidRDefault="00052555" w:rsidP="00923BDC">
      <w:pPr>
        <w:pStyle w:val="Paragrafoelenco"/>
        <w:ind w:left="0"/>
        <w:rPr>
          <w:sz w:val="22"/>
          <w:szCs w:val="22"/>
        </w:rPr>
      </w:pPr>
    </w:p>
    <w:p w:rsidR="00052555" w:rsidRDefault="00052555" w:rsidP="00923BDC">
      <w:pPr>
        <w:pStyle w:val="Paragrafoelenco"/>
        <w:ind w:left="0"/>
        <w:rPr>
          <w:sz w:val="22"/>
          <w:szCs w:val="22"/>
        </w:rPr>
      </w:pPr>
    </w:p>
    <w:p w:rsidR="00052555" w:rsidRDefault="00052555" w:rsidP="00923BDC">
      <w:pPr>
        <w:pStyle w:val="Paragrafoelenco"/>
        <w:ind w:left="0"/>
        <w:rPr>
          <w:sz w:val="22"/>
          <w:szCs w:val="22"/>
        </w:rPr>
      </w:pPr>
    </w:p>
    <w:p w:rsidR="00052555" w:rsidRDefault="00052555" w:rsidP="00923BDC">
      <w:pPr>
        <w:pStyle w:val="Paragrafoelenco"/>
        <w:ind w:left="0"/>
        <w:rPr>
          <w:sz w:val="22"/>
          <w:szCs w:val="22"/>
        </w:rPr>
      </w:pPr>
    </w:p>
    <w:p w:rsidR="00052555" w:rsidRDefault="00052555" w:rsidP="00923BDC">
      <w:pPr>
        <w:pStyle w:val="Paragrafoelenco"/>
        <w:ind w:left="0"/>
        <w:rPr>
          <w:sz w:val="22"/>
          <w:szCs w:val="22"/>
        </w:rPr>
      </w:pPr>
    </w:p>
    <w:p w:rsidR="00052555" w:rsidRDefault="00052555" w:rsidP="00923BDC">
      <w:pPr>
        <w:pStyle w:val="Paragrafoelenco"/>
        <w:ind w:left="0"/>
        <w:rPr>
          <w:sz w:val="22"/>
          <w:szCs w:val="22"/>
        </w:rPr>
      </w:pPr>
    </w:p>
    <w:p w:rsidR="00923BDC" w:rsidRPr="00052555" w:rsidRDefault="00923BDC" w:rsidP="00923BDC">
      <w:pPr>
        <w:pStyle w:val="Paragrafoelenco"/>
        <w:ind w:left="0"/>
        <w:rPr>
          <w:sz w:val="22"/>
          <w:szCs w:val="22"/>
        </w:rPr>
      </w:pPr>
      <w:r w:rsidRPr="00052555">
        <w:rPr>
          <w:sz w:val="22"/>
          <w:szCs w:val="22"/>
        </w:rPr>
        <w:lastRenderedPageBreak/>
        <w:t xml:space="preserve">Di seguito si riporta la posizione finanziaria netta della Capogruppo RCS </w:t>
      </w:r>
      <w:proofErr w:type="spellStart"/>
      <w:r w:rsidRPr="00052555">
        <w:rPr>
          <w:sz w:val="22"/>
          <w:szCs w:val="22"/>
        </w:rPr>
        <w:t>MediaGroup</w:t>
      </w:r>
      <w:proofErr w:type="spellEnd"/>
      <w:r w:rsidRPr="00052555">
        <w:rPr>
          <w:sz w:val="22"/>
          <w:szCs w:val="22"/>
        </w:rPr>
        <w:t xml:space="preserve"> S.p.A. con l’evidenza delle componenti a breve termine separatamente da quelle a lungo termine.</w:t>
      </w:r>
    </w:p>
    <w:p w:rsidR="00923BDC" w:rsidRPr="00845BE8" w:rsidRDefault="00923BDC" w:rsidP="00923BDC">
      <w:pPr>
        <w:pStyle w:val="Paragrafoelenco"/>
        <w:ind w:left="0"/>
        <w:rPr>
          <w:szCs w:val="22"/>
          <w:highlight w:val="yellow"/>
        </w:rPr>
      </w:pPr>
    </w:p>
    <w:tbl>
      <w:tblPr>
        <w:tblW w:w="9813" w:type="dxa"/>
        <w:tblInd w:w="55" w:type="dxa"/>
        <w:tblCellMar>
          <w:left w:w="70" w:type="dxa"/>
          <w:right w:w="70" w:type="dxa"/>
        </w:tblCellMar>
        <w:tblLook w:val="04A0" w:firstRow="1" w:lastRow="0" w:firstColumn="1" w:lastColumn="0" w:noHBand="0" w:noVBand="1"/>
      </w:tblPr>
      <w:tblGrid>
        <w:gridCol w:w="5429"/>
        <w:gridCol w:w="1566"/>
        <w:gridCol w:w="1566"/>
        <w:gridCol w:w="1252"/>
      </w:tblGrid>
      <w:tr w:rsidR="00923BDC" w:rsidRPr="00923BDC" w:rsidTr="00052555">
        <w:trPr>
          <w:trHeight w:val="260"/>
        </w:trPr>
        <w:tc>
          <w:tcPr>
            <w:tcW w:w="5429" w:type="dxa"/>
            <w:tcBorders>
              <w:top w:val="single" w:sz="4" w:space="0" w:color="auto"/>
              <w:left w:val="nil"/>
              <w:bottom w:val="nil"/>
              <w:right w:val="nil"/>
            </w:tcBorders>
            <w:shd w:val="clear" w:color="000000" w:fill="FFFFFF"/>
            <w:noWrap/>
            <w:vAlign w:val="bottom"/>
            <w:hideMark/>
          </w:tcPr>
          <w:p w:rsidR="00923BDC" w:rsidRPr="00923BDC" w:rsidRDefault="00923BDC" w:rsidP="00923BDC">
            <w:pPr>
              <w:widowControl/>
              <w:suppressAutoHyphens w:val="0"/>
              <w:jc w:val="center"/>
              <w:rPr>
                <w:b/>
                <w:bCs/>
                <w:color w:val="000000"/>
                <w:sz w:val="20"/>
                <w:szCs w:val="20"/>
                <w:lang w:eastAsia="it-IT"/>
              </w:rPr>
            </w:pPr>
            <w:r w:rsidRPr="00923BDC">
              <w:rPr>
                <w:b/>
                <w:bCs/>
                <w:color w:val="000000"/>
                <w:sz w:val="20"/>
                <w:szCs w:val="20"/>
                <w:lang w:eastAsia="it-IT"/>
              </w:rPr>
              <w:t> </w:t>
            </w:r>
          </w:p>
        </w:tc>
        <w:tc>
          <w:tcPr>
            <w:tcW w:w="1566" w:type="dxa"/>
            <w:tcBorders>
              <w:top w:val="single" w:sz="4" w:space="0" w:color="auto"/>
              <w:left w:val="nil"/>
              <w:bottom w:val="nil"/>
              <w:right w:val="nil"/>
            </w:tcBorders>
            <w:shd w:val="clear" w:color="000000" w:fill="FFFFFF"/>
            <w:noWrap/>
            <w:vAlign w:val="bottom"/>
            <w:hideMark/>
          </w:tcPr>
          <w:p w:rsidR="00923BDC" w:rsidRPr="00923BDC" w:rsidRDefault="00923BDC" w:rsidP="00923BDC">
            <w:pPr>
              <w:widowControl/>
              <w:suppressAutoHyphens w:val="0"/>
              <w:jc w:val="center"/>
              <w:rPr>
                <w:b/>
                <w:bCs/>
                <w:color w:val="000000"/>
                <w:sz w:val="20"/>
                <w:szCs w:val="20"/>
                <w:lang w:eastAsia="it-IT"/>
              </w:rPr>
            </w:pPr>
            <w:r w:rsidRPr="00923BDC">
              <w:rPr>
                <w:b/>
                <w:bCs/>
                <w:color w:val="000000"/>
                <w:sz w:val="20"/>
                <w:szCs w:val="20"/>
                <w:lang w:eastAsia="it-IT"/>
              </w:rPr>
              <w:t> </w:t>
            </w:r>
          </w:p>
        </w:tc>
        <w:tc>
          <w:tcPr>
            <w:tcW w:w="1566" w:type="dxa"/>
            <w:tcBorders>
              <w:top w:val="single" w:sz="4" w:space="0" w:color="auto"/>
              <w:left w:val="nil"/>
              <w:bottom w:val="nil"/>
              <w:right w:val="nil"/>
            </w:tcBorders>
            <w:shd w:val="clear" w:color="000000" w:fill="FFFFFF"/>
            <w:noWrap/>
            <w:vAlign w:val="bottom"/>
            <w:hideMark/>
          </w:tcPr>
          <w:p w:rsidR="00923BDC" w:rsidRPr="00923BDC" w:rsidRDefault="00923BDC" w:rsidP="00923BDC">
            <w:pPr>
              <w:widowControl/>
              <w:suppressAutoHyphens w:val="0"/>
              <w:jc w:val="center"/>
              <w:rPr>
                <w:b/>
                <w:bCs/>
                <w:color w:val="000000"/>
                <w:sz w:val="20"/>
                <w:szCs w:val="20"/>
                <w:lang w:eastAsia="it-IT"/>
              </w:rPr>
            </w:pPr>
            <w:r w:rsidRPr="00923BDC">
              <w:rPr>
                <w:b/>
                <w:bCs/>
                <w:color w:val="000000"/>
                <w:sz w:val="20"/>
                <w:szCs w:val="20"/>
                <w:lang w:eastAsia="it-IT"/>
              </w:rPr>
              <w:t> </w:t>
            </w:r>
          </w:p>
        </w:tc>
        <w:tc>
          <w:tcPr>
            <w:tcW w:w="1252" w:type="dxa"/>
            <w:tcBorders>
              <w:top w:val="single" w:sz="4" w:space="0" w:color="auto"/>
              <w:left w:val="nil"/>
              <w:bottom w:val="nil"/>
              <w:right w:val="nil"/>
            </w:tcBorders>
            <w:shd w:val="clear" w:color="000000" w:fill="FFFFFF"/>
            <w:noWrap/>
            <w:vAlign w:val="bottom"/>
            <w:hideMark/>
          </w:tcPr>
          <w:p w:rsidR="00923BDC" w:rsidRPr="00923BDC" w:rsidRDefault="00923BDC" w:rsidP="00923BDC">
            <w:pPr>
              <w:widowControl/>
              <w:suppressAutoHyphens w:val="0"/>
              <w:jc w:val="center"/>
              <w:rPr>
                <w:b/>
                <w:bCs/>
                <w:color w:val="000000"/>
                <w:sz w:val="20"/>
                <w:szCs w:val="20"/>
                <w:lang w:eastAsia="it-IT"/>
              </w:rPr>
            </w:pPr>
            <w:r w:rsidRPr="00923BDC">
              <w:rPr>
                <w:b/>
                <w:bCs/>
                <w:color w:val="000000"/>
                <w:sz w:val="20"/>
                <w:szCs w:val="20"/>
                <w:lang w:eastAsia="it-IT"/>
              </w:rPr>
              <w:t> </w:t>
            </w:r>
          </w:p>
        </w:tc>
      </w:tr>
      <w:tr w:rsidR="00923BDC" w:rsidRPr="00923BDC" w:rsidTr="00052555">
        <w:trPr>
          <w:trHeight w:val="260"/>
        </w:trPr>
        <w:tc>
          <w:tcPr>
            <w:tcW w:w="5429"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16"/>
                <w:szCs w:val="16"/>
                <w:lang w:eastAsia="it-IT"/>
              </w:rPr>
            </w:pPr>
            <w:r w:rsidRPr="00923BDC">
              <w:rPr>
                <w:color w:val="000000"/>
                <w:sz w:val="16"/>
                <w:szCs w:val="16"/>
                <w:lang w:eastAsia="it-IT"/>
              </w:rPr>
              <w:t>(</w:t>
            </w:r>
            <w:proofErr w:type="gramStart"/>
            <w:r w:rsidRPr="00923BDC">
              <w:rPr>
                <w:color w:val="000000"/>
                <w:sz w:val="16"/>
                <w:szCs w:val="16"/>
                <w:lang w:eastAsia="it-IT"/>
              </w:rPr>
              <w:t>in</w:t>
            </w:r>
            <w:proofErr w:type="gramEnd"/>
            <w:r w:rsidRPr="00923BDC">
              <w:rPr>
                <w:color w:val="000000"/>
                <w:sz w:val="16"/>
                <w:szCs w:val="16"/>
                <w:lang w:eastAsia="it-IT"/>
              </w:rPr>
              <w:t xml:space="preserve"> milioni di euro)</w:t>
            </w:r>
          </w:p>
        </w:tc>
        <w:tc>
          <w:tcPr>
            <w:tcW w:w="1566" w:type="dxa"/>
            <w:vMerge w:val="restart"/>
            <w:tcBorders>
              <w:top w:val="nil"/>
              <w:left w:val="nil"/>
              <w:bottom w:val="single" w:sz="4" w:space="0" w:color="000000"/>
              <w:right w:val="nil"/>
            </w:tcBorders>
            <w:shd w:val="clear" w:color="000000" w:fill="FFFFFF"/>
            <w:vAlign w:val="bottom"/>
            <w:hideMark/>
          </w:tcPr>
          <w:p w:rsidR="00923BDC" w:rsidRPr="00923BDC" w:rsidRDefault="00923BDC" w:rsidP="00923BDC">
            <w:pPr>
              <w:widowControl/>
              <w:suppressAutoHyphens w:val="0"/>
              <w:jc w:val="right"/>
              <w:rPr>
                <w:b/>
                <w:bCs/>
                <w:color w:val="000000"/>
                <w:sz w:val="20"/>
                <w:szCs w:val="20"/>
                <w:lang w:eastAsia="it-IT"/>
              </w:rPr>
            </w:pPr>
            <w:r w:rsidRPr="00923BDC">
              <w:rPr>
                <w:b/>
                <w:bCs/>
                <w:color w:val="000000"/>
                <w:sz w:val="20"/>
                <w:szCs w:val="20"/>
                <w:lang w:eastAsia="it-IT"/>
              </w:rPr>
              <w:t>31 marzo</w:t>
            </w:r>
            <w:r w:rsidRPr="00923BDC">
              <w:rPr>
                <w:b/>
                <w:bCs/>
                <w:color w:val="000000"/>
                <w:sz w:val="20"/>
                <w:szCs w:val="20"/>
                <w:lang w:eastAsia="it-IT"/>
              </w:rPr>
              <w:br/>
              <w:t>2015</w:t>
            </w:r>
          </w:p>
        </w:tc>
        <w:tc>
          <w:tcPr>
            <w:tcW w:w="1566" w:type="dxa"/>
            <w:vMerge w:val="restart"/>
            <w:tcBorders>
              <w:top w:val="nil"/>
              <w:left w:val="nil"/>
              <w:bottom w:val="single" w:sz="4" w:space="0" w:color="000000"/>
              <w:right w:val="nil"/>
            </w:tcBorders>
            <w:shd w:val="clear" w:color="000000" w:fill="FFFFFF"/>
            <w:vAlign w:val="bottom"/>
            <w:hideMark/>
          </w:tcPr>
          <w:p w:rsidR="00923BDC" w:rsidRPr="00923BDC" w:rsidRDefault="00923BDC" w:rsidP="00923BDC">
            <w:pPr>
              <w:widowControl/>
              <w:suppressAutoHyphens w:val="0"/>
              <w:jc w:val="right"/>
              <w:rPr>
                <w:b/>
                <w:bCs/>
                <w:color w:val="000000"/>
                <w:sz w:val="20"/>
                <w:szCs w:val="20"/>
                <w:lang w:eastAsia="it-IT"/>
              </w:rPr>
            </w:pPr>
            <w:r w:rsidRPr="00923BDC">
              <w:rPr>
                <w:b/>
                <w:bCs/>
                <w:color w:val="000000"/>
                <w:sz w:val="20"/>
                <w:szCs w:val="20"/>
                <w:lang w:eastAsia="it-IT"/>
              </w:rPr>
              <w:t>31 dicembre 2014</w:t>
            </w:r>
          </w:p>
        </w:tc>
        <w:tc>
          <w:tcPr>
            <w:tcW w:w="1252" w:type="dxa"/>
            <w:tcBorders>
              <w:top w:val="nil"/>
              <w:left w:val="nil"/>
              <w:bottom w:val="nil"/>
              <w:right w:val="nil"/>
            </w:tcBorders>
            <w:shd w:val="clear" w:color="000000" w:fill="FFFFFF"/>
            <w:vAlign w:val="center"/>
            <w:hideMark/>
          </w:tcPr>
          <w:p w:rsidR="00923BDC" w:rsidRPr="00923BDC" w:rsidRDefault="00923BDC" w:rsidP="00923BDC">
            <w:pPr>
              <w:widowControl/>
              <w:suppressAutoHyphens w:val="0"/>
              <w:jc w:val="center"/>
              <w:rPr>
                <w:b/>
                <w:bCs/>
                <w:color w:val="000000"/>
                <w:sz w:val="20"/>
                <w:szCs w:val="20"/>
                <w:lang w:eastAsia="it-IT"/>
              </w:rPr>
            </w:pPr>
            <w:r w:rsidRPr="00923BDC">
              <w:rPr>
                <w:b/>
                <w:bCs/>
                <w:color w:val="000000"/>
                <w:sz w:val="20"/>
                <w:szCs w:val="20"/>
                <w:lang w:eastAsia="it-IT"/>
              </w:rPr>
              <w:t>Delta</w:t>
            </w:r>
          </w:p>
        </w:tc>
      </w:tr>
      <w:tr w:rsidR="00923BDC" w:rsidRPr="00923BDC" w:rsidTr="00052555">
        <w:trPr>
          <w:trHeight w:val="260"/>
        </w:trPr>
        <w:tc>
          <w:tcPr>
            <w:tcW w:w="542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center"/>
              <w:rPr>
                <w:b/>
                <w:bCs/>
                <w:color w:val="000000"/>
                <w:sz w:val="20"/>
                <w:szCs w:val="20"/>
                <w:lang w:eastAsia="it-IT"/>
              </w:rPr>
            </w:pPr>
            <w:r w:rsidRPr="00923BDC">
              <w:rPr>
                <w:b/>
                <w:bCs/>
                <w:color w:val="000000"/>
                <w:sz w:val="20"/>
                <w:szCs w:val="20"/>
                <w:lang w:eastAsia="it-IT"/>
              </w:rPr>
              <w:t> </w:t>
            </w:r>
          </w:p>
        </w:tc>
        <w:tc>
          <w:tcPr>
            <w:tcW w:w="1566" w:type="dxa"/>
            <w:vMerge/>
            <w:tcBorders>
              <w:top w:val="nil"/>
              <w:left w:val="nil"/>
              <w:bottom w:val="single" w:sz="4" w:space="0" w:color="000000"/>
              <w:right w:val="nil"/>
            </w:tcBorders>
            <w:vAlign w:val="center"/>
            <w:hideMark/>
          </w:tcPr>
          <w:p w:rsidR="00923BDC" w:rsidRPr="00923BDC" w:rsidRDefault="00923BDC" w:rsidP="00923BDC">
            <w:pPr>
              <w:widowControl/>
              <w:suppressAutoHyphens w:val="0"/>
              <w:rPr>
                <w:b/>
                <w:bCs/>
                <w:color w:val="000000"/>
                <w:sz w:val="20"/>
                <w:szCs w:val="20"/>
                <w:lang w:eastAsia="it-IT"/>
              </w:rPr>
            </w:pPr>
          </w:p>
        </w:tc>
        <w:tc>
          <w:tcPr>
            <w:tcW w:w="1566" w:type="dxa"/>
            <w:vMerge/>
            <w:tcBorders>
              <w:top w:val="nil"/>
              <w:left w:val="nil"/>
              <w:bottom w:val="single" w:sz="4" w:space="0" w:color="000000"/>
              <w:right w:val="nil"/>
            </w:tcBorders>
            <w:vAlign w:val="center"/>
            <w:hideMark/>
          </w:tcPr>
          <w:p w:rsidR="00923BDC" w:rsidRPr="00923BDC" w:rsidRDefault="00923BDC" w:rsidP="00923BDC">
            <w:pPr>
              <w:widowControl/>
              <w:suppressAutoHyphens w:val="0"/>
              <w:rPr>
                <w:b/>
                <w:bCs/>
                <w:color w:val="000000"/>
                <w:sz w:val="20"/>
                <w:szCs w:val="20"/>
                <w:lang w:eastAsia="it-IT"/>
              </w:rPr>
            </w:pPr>
          </w:p>
        </w:tc>
        <w:tc>
          <w:tcPr>
            <w:tcW w:w="1252" w:type="dxa"/>
            <w:tcBorders>
              <w:top w:val="nil"/>
              <w:left w:val="nil"/>
              <w:bottom w:val="single" w:sz="4" w:space="0" w:color="auto"/>
              <w:right w:val="nil"/>
            </w:tcBorders>
            <w:shd w:val="clear" w:color="000000" w:fill="FFFFFF"/>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 </w:t>
            </w:r>
          </w:p>
        </w:tc>
      </w:tr>
      <w:tr w:rsidR="00923BDC" w:rsidRPr="00923BDC" w:rsidTr="00052555">
        <w:trPr>
          <w:trHeight w:val="260"/>
        </w:trPr>
        <w:tc>
          <w:tcPr>
            <w:tcW w:w="542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Crediti finanziari correnti</w:t>
            </w:r>
          </w:p>
        </w:tc>
        <w:tc>
          <w:tcPr>
            <w:tcW w:w="156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 </w:t>
            </w:r>
          </w:p>
        </w:tc>
        <w:tc>
          <w:tcPr>
            <w:tcW w:w="156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 </w:t>
            </w:r>
          </w:p>
        </w:tc>
        <w:tc>
          <w:tcPr>
            <w:tcW w:w="125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center"/>
              <w:rPr>
                <w:b/>
                <w:bCs/>
                <w:color w:val="000000"/>
                <w:sz w:val="20"/>
                <w:szCs w:val="20"/>
                <w:lang w:eastAsia="it-IT"/>
              </w:rPr>
            </w:pPr>
            <w:r w:rsidRPr="00923BDC">
              <w:rPr>
                <w:b/>
                <w:bCs/>
                <w:color w:val="000000"/>
                <w:sz w:val="20"/>
                <w:szCs w:val="20"/>
                <w:lang w:eastAsia="it-IT"/>
              </w:rPr>
              <w:t> </w:t>
            </w:r>
          </w:p>
        </w:tc>
      </w:tr>
      <w:tr w:rsidR="00923BDC" w:rsidRPr="00923BDC" w:rsidTr="00052555">
        <w:trPr>
          <w:trHeight w:val="260"/>
        </w:trPr>
        <w:tc>
          <w:tcPr>
            <w:tcW w:w="542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Disponibilità liquide e mezzi equivalenti</w:t>
            </w:r>
          </w:p>
        </w:tc>
        <w:tc>
          <w:tcPr>
            <w:tcW w:w="156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20"/>
                <w:szCs w:val="20"/>
                <w:lang w:eastAsia="it-IT"/>
              </w:rPr>
            </w:pPr>
            <w:r w:rsidRPr="00923BDC">
              <w:rPr>
                <w:color w:val="000000"/>
                <w:sz w:val="20"/>
                <w:szCs w:val="20"/>
                <w:lang w:eastAsia="it-IT"/>
              </w:rPr>
              <w:t>1,0</w:t>
            </w:r>
          </w:p>
        </w:tc>
        <w:tc>
          <w:tcPr>
            <w:tcW w:w="156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20"/>
                <w:szCs w:val="20"/>
                <w:lang w:eastAsia="it-IT"/>
              </w:rPr>
            </w:pPr>
            <w:r w:rsidRPr="00923BDC">
              <w:rPr>
                <w:color w:val="000000"/>
                <w:sz w:val="20"/>
                <w:szCs w:val="20"/>
                <w:lang w:eastAsia="it-IT"/>
              </w:rPr>
              <w:t>0,7</w:t>
            </w:r>
          </w:p>
        </w:tc>
        <w:tc>
          <w:tcPr>
            <w:tcW w:w="125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20"/>
                <w:szCs w:val="20"/>
                <w:lang w:eastAsia="it-IT"/>
              </w:rPr>
            </w:pPr>
            <w:r w:rsidRPr="00923BDC">
              <w:rPr>
                <w:sz w:val="20"/>
                <w:szCs w:val="20"/>
                <w:lang w:eastAsia="it-IT"/>
              </w:rPr>
              <w:t>0,3</w:t>
            </w:r>
          </w:p>
        </w:tc>
      </w:tr>
      <w:tr w:rsidR="00923BDC" w:rsidRPr="00923BDC" w:rsidTr="00052555">
        <w:trPr>
          <w:trHeight w:val="260"/>
        </w:trPr>
        <w:tc>
          <w:tcPr>
            <w:tcW w:w="542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Crediti finanziari correnti</w:t>
            </w:r>
          </w:p>
        </w:tc>
        <w:tc>
          <w:tcPr>
            <w:tcW w:w="156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20"/>
                <w:szCs w:val="20"/>
                <w:lang w:eastAsia="it-IT"/>
              </w:rPr>
            </w:pPr>
            <w:r w:rsidRPr="00923BDC">
              <w:rPr>
                <w:color w:val="000000"/>
                <w:sz w:val="20"/>
                <w:szCs w:val="20"/>
                <w:lang w:eastAsia="it-IT"/>
              </w:rPr>
              <w:t>39,6</w:t>
            </w:r>
          </w:p>
        </w:tc>
        <w:tc>
          <w:tcPr>
            <w:tcW w:w="156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color w:val="000000"/>
                <w:sz w:val="20"/>
                <w:szCs w:val="20"/>
                <w:lang w:eastAsia="it-IT"/>
              </w:rPr>
            </w:pPr>
            <w:r w:rsidRPr="00923BDC">
              <w:rPr>
                <w:color w:val="000000"/>
                <w:sz w:val="20"/>
                <w:szCs w:val="20"/>
                <w:lang w:eastAsia="it-IT"/>
              </w:rPr>
              <w:t>47,9</w:t>
            </w:r>
          </w:p>
        </w:tc>
        <w:tc>
          <w:tcPr>
            <w:tcW w:w="125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20"/>
                <w:szCs w:val="20"/>
                <w:lang w:eastAsia="it-IT"/>
              </w:rPr>
            </w:pPr>
            <w:r w:rsidRPr="00923BDC">
              <w:rPr>
                <w:sz w:val="20"/>
                <w:szCs w:val="20"/>
                <w:lang w:eastAsia="it-IT"/>
              </w:rPr>
              <w:t>(8,3)</w:t>
            </w:r>
          </w:p>
        </w:tc>
      </w:tr>
      <w:tr w:rsidR="00923BDC" w:rsidRPr="00923BDC" w:rsidTr="00052555">
        <w:trPr>
          <w:trHeight w:val="260"/>
        </w:trPr>
        <w:tc>
          <w:tcPr>
            <w:tcW w:w="5429"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A) Totale crediti finanziari correnti</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20"/>
                <w:szCs w:val="20"/>
                <w:lang w:eastAsia="it-IT"/>
              </w:rPr>
            </w:pPr>
            <w:r w:rsidRPr="00923BDC">
              <w:rPr>
                <w:b/>
                <w:bCs/>
                <w:sz w:val="20"/>
                <w:szCs w:val="20"/>
                <w:lang w:eastAsia="it-IT"/>
              </w:rPr>
              <w:t xml:space="preserve">                     40,6 </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20"/>
                <w:szCs w:val="20"/>
                <w:lang w:eastAsia="it-IT"/>
              </w:rPr>
            </w:pPr>
            <w:r w:rsidRPr="00923BDC">
              <w:rPr>
                <w:b/>
                <w:bCs/>
                <w:sz w:val="20"/>
                <w:szCs w:val="20"/>
                <w:lang w:eastAsia="it-IT"/>
              </w:rPr>
              <w:t xml:space="preserve">                     48,6 </w:t>
            </w:r>
          </w:p>
        </w:tc>
        <w:tc>
          <w:tcPr>
            <w:tcW w:w="125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20"/>
                <w:szCs w:val="20"/>
                <w:lang w:eastAsia="it-IT"/>
              </w:rPr>
            </w:pPr>
            <w:r w:rsidRPr="00923BDC">
              <w:rPr>
                <w:b/>
                <w:bCs/>
                <w:sz w:val="20"/>
                <w:szCs w:val="20"/>
                <w:lang w:eastAsia="it-IT"/>
              </w:rPr>
              <w:t>( 8,0)</w:t>
            </w:r>
          </w:p>
        </w:tc>
      </w:tr>
      <w:tr w:rsidR="00923BDC" w:rsidRPr="00923BDC" w:rsidTr="00052555">
        <w:trPr>
          <w:trHeight w:val="260"/>
        </w:trPr>
        <w:tc>
          <w:tcPr>
            <w:tcW w:w="5429"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56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56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252"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r>
      <w:tr w:rsidR="00923BDC" w:rsidRPr="00923BDC" w:rsidTr="00052555">
        <w:trPr>
          <w:trHeight w:val="260"/>
        </w:trPr>
        <w:tc>
          <w:tcPr>
            <w:tcW w:w="5429"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Debiti finanziari correnti</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 </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 </w:t>
            </w:r>
          </w:p>
        </w:tc>
        <w:tc>
          <w:tcPr>
            <w:tcW w:w="125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center"/>
              <w:rPr>
                <w:b/>
                <w:bCs/>
                <w:color w:val="000000"/>
                <w:sz w:val="20"/>
                <w:szCs w:val="20"/>
                <w:lang w:eastAsia="it-IT"/>
              </w:rPr>
            </w:pPr>
            <w:r w:rsidRPr="00923BDC">
              <w:rPr>
                <w:b/>
                <w:bCs/>
                <w:color w:val="000000"/>
                <w:sz w:val="20"/>
                <w:szCs w:val="20"/>
                <w:lang w:eastAsia="it-IT"/>
              </w:rPr>
              <w:t> </w:t>
            </w:r>
          </w:p>
        </w:tc>
      </w:tr>
      <w:tr w:rsidR="00923BDC" w:rsidRPr="00923BDC" w:rsidTr="00052555">
        <w:trPr>
          <w:trHeight w:val="260"/>
        </w:trPr>
        <w:tc>
          <w:tcPr>
            <w:tcW w:w="542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Debiti verso banche c/c</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20"/>
                <w:szCs w:val="20"/>
                <w:lang w:eastAsia="it-IT"/>
              </w:rPr>
            </w:pPr>
            <w:r w:rsidRPr="00923BDC">
              <w:rPr>
                <w:sz w:val="20"/>
                <w:szCs w:val="20"/>
                <w:lang w:eastAsia="it-IT"/>
              </w:rPr>
              <w:t>( 29,2)</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20"/>
                <w:szCs w:val="20"/>
                <w:lang w:eastAsia="it-IT"/>
              </w:rPr>
            </w:pPr>
            <w:r w:rsidRPr="00923BDC">
              <w:rPr>
                <w:sz w:val="20"/>
                <w:szCs w:val="20"/>
                <w:lang w:eastAsia="it-IT"/>
              </w:rPr>
              <w:t>( 36,8)</w:t>
            </w:r>
          </w:p>
        </w:tc>
        <w:tc>
          <w:tcPr>
            <w:tcW w:w="125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20"/>
                <w:szCs w:val="20"/>
                <w:lang w:eastAsia="it-IT"/>
              </w:rPr>
            </w:pPr>
            <w:r w:rsidRPr="00923BDC">
              <w:rPr>
                <w:sz w:val="20"/>
                <w:szCs w:val="20"/>
                <w:lang w:eastAsia="it-IT"/>
              </w:rPr>
              <w:t xml:space="preserve">                  7,6 </w:t>
            </w:r>
          </w:p>
        </w:tc>
      </w:tr>
      <w:tr w:rsidR="00923BDC" w:rsidRPr="00923BDC" w:rsidTr="00052555">
        <w:trPr>
          <w:trHeight w:val="260"/>
        </w:trPr>
        <w:tc>
          <w:tcPr>
            <w:tcW w:w="542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Debiti finanziari correnti</w:t>
            </w:r>
          </w:p>
        </w:tc>
        <w:tc>
          <w:tcPr>
            <w:tcW w:w="156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20"/>
                <w:szCs w:val="20"/>
                <w:lang w:eastAsia="it-IT"/>
              </w:rPr>
            </w:pPr>
            <w:r w:rsidRPr="00923BDC">
              <w:rPr>
                <w:sz w:val="20"/>
                <w:szCs w:val="20"/>
                <w:lang w:eastAsia="it-IT"/>
              </w:rPr>
              <w:t>( 512,2)</w:t>
            </w:r>
          </w:p>
        </w:tc>
        <w:tc>
          <w:tcPr>
            <w:tcW w:w="156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20"/>
                <w:szCs w:val="20"/>
                <w:lang w:eastAsia="it-IT"/>
              </w:rPr>
            </w:pPr>
            <w:r w:rsidRPr="00923BDC">
              <w:rPr>
                <w:sz w:val="20"/>
                <w:szCs w:val="20"/>
                <w:lang w:eastAsia="it-IT"/>
              </w:rPr>
              <w:t>( 585,2)</w:t>
            </w:r>
          </w:p>
        </w:tc>
        <w:tc>
          <w:tcPr>
            <w:tcW w:w="125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20"/>
                <w:szCs w:val="20"/>
                <w:lang w:eastAsia="it-IT"/>
              </w:rPr>
            </w:pPr>
            <w:r w:rsidRPr="00923BDC">
              <w:rPr>
                <w:sz w:val="20"/>
                <w:szCs w:val="20"/>
                <w:lang w:eastAsia="it-IT"/>
              </w:rPr>
              <w:t xml:space="preserve">                73,0 </w:t>
            </w:r>
          </w:p>
        </w:tc>
      </w:tr>
      <w:tr w:rsidR="00923BDC" w:rsidRPr="00923BDC" w:rsidTr="00052555">
        <w:trPr>
          <w:trHeight w:val="260"/>
        </w:trPr>
        <w:tc>
          <w:tcPr>
            <w:tcW w:w="5429"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Passività finanziarie per strumenti derivati</w:t>
            </w:r>
          </w:p>
        </w:tc>
        <w:tc>
          <w:tcPr>
            <w:tcW w:w="156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20"/>
                <w:szCs w:val="20"/>
                <w:lang w:eastAsia="it-IT"/>
              </w:rPr>
            </w:pPr>
            <w:r w:rsidRPr="00923BDC">
              <w:rPr>
                <w:sz w:val="20"/>
                <w:szCs w:val="20"/>
                <w:lang w:eastAsia="it-IT"/>
              </w:rPr>
              <w:t xml:space="preserve">                            - </w:t>
            </w:r>
          </w:p>
        </w:tc>
        <w:tc>
          <w:tcPr>
            <w:tcW w:w="156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20"/>
                <w:szCs w:val="20"/>
                <w:lang w:eastAsia="it-IT"/>
              </w:rPr>
            </w:pPr>
            <w:r w:rsidRPr="00923BDC">
              <w:rPr>
                <w:sz w:val="20"/>
                <w:szCs w:val="20"/>
                <w:lang w:eastAsia="it-IT"/>
              </w:rPr>
              <w:t xml:space="preserve">                            - </w:t>
            </w:r>
          </w:p>
        </w:tc>
        <w:tc>
          <w:tcPr>
            <w:tcW w:w="125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20"/>
                <w:szCs w:val="20"/>
                <w:lang w:eastAsia="it-IT"/>
              </w:rPr>
            </w:pPr>
            <w:r w:rsidRPr="00923BDC">
              <w:rPr>
                <w:sz w:val="20"/>
                <w:szCs w:val="20"/>
                <w:lang w:eastAsia="it-IT"/>
              </w:rPr>
              <w:t xml:space="preserve">                      - </w:t>
            </w:r>
          </w:p>
        </w:tc>
      </w:tr>
      <w:tr w:rsidR="00923BDC" w:rsidRPr="00923BDC" w:rsidTr="00052555">
        <w:trPr>
          <w:trHeight w:val="260"/>
        </w:trPr>
        <w:tc>
          <w:tcPr>
            <w:tcW w:w="5429"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B) Totale debiti finanziari correnti</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20"/>
                <w:szCs w:val="20"/>
                <w:lang w:eastAsia="it-IT"/>
              </w:rPr>
            </w:pPr>
            <w:r w:rsidRPr="00923BDC">
              <w:rPr>
                <w:b/>
                <w:bCs/>
                <w:sz w:val="20"/>
                <w:szCs w:val="20"/>
                <w:lang w:eastAsia="it-IT"/>
              </w:rPr>
              <w:t>( 541,4)</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20"/>
                <w:szCs w:val="20"/>
                <w:lang w:eastAsia="it-IT"/>
              </w:rPr>
            </w:pPr>
            <w:r w:rsidRPr="00923BDC">
              <w:rPr>
                <w:b/>
                <w:bCs/>
                <w:sz w:val="20"/>
                <w:szCs w:val="20"/>
                <w:lang w:eastAsia="it-IT"/>
              </w:rPr>
              <w:t>( 622,0)</w:t>
            </w:r>
          </w:p>
        </w:tc>
        <w:tc>
          <w:tcPr>
            <w:tcW w:w="125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20"/>
                <w:szCs w:val="20"/>
                <w:lang w:eastAsia="it-IT"/>
              </w:rPr>
            </w:pPr>
            <w:r w:rsidRPr="00923BDC">
              <w:rPr>
                <w:b/>
                <w:bCs/>
                <w:sz w:val="20"/>
                <w:szCs w:val="20"/>
                <w:lang w:eastAsia="it-IT"/>
              </w:rPr>
              <w:t xml:space="preserve">               80,6 </w:t>
            </w:r>
          </w:p>
        </w:tc>
      </w:tr>
      <w:tr w:rsidR="00923BDC" w:rsidRPr="00923BDC" w:rsidTr="00052555">
        <w:trPr>
          <w:trHeight w:val="260"/>
        </w:trPr>
        <w:tc>
          <w:tcPr>
            <w:tcW w:w="5429"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56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56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252"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r>
      <w:tr w:rsidR="00923BDC" w:rsidRPr="00923BDC" w:rsidTr="00052555">
        <w:trPr>
          <w:trHeight w:val="260"/>
        </w:trPr>
        <w:tc>
          <w:tcPr>
            <w:tcW w:w="5429"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(A+B) Totale (indebitamento) finanziario corrente netto</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20"/>
                <w:szCs w:val="20"/>
                <w:lang w:eastAsia="it-IT"/>
              </w:rPr>
            </w:pPr>
            <w:r w:rsidRPr="00923BDC">
              <w:rPr>
                <w:b/>
                <w:bCs/>
                <w:sz w:val="20"/>
                <w:szCs w:val="20"/>
                <w:lang w:eastAsia="it-IT"/>
              </w:rPr>
              <w:t>( 500,8)</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20"/>
                <w:szCs w:val="20"/>
                <w:lang w:eastAsia="it-IT"/>
              </w:rPr>
            </w:pPr>
            <w:r w:rsidRPr="00923BDC">
              <w:rPr>
                <w:b/>
                <w:bCs/>
                <w:sz w:val="20"/>
                <w:szCs w:val="20"/>
                <w:lang w:eastAsia="it-IT"/>
              </w:rPr>
              <w:t>( 573,4)</w:t>
            </w:r>
          </w:p>
        </w:tc>
        <w:tc>
          <w:tcPr>
            <w:tcW w:w="125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20"/>
                <w:szCs w:val="20"/>
                <w:lang w:eastAsia="it-IT"/>
              </w:rPr>
            </w:pPr>
            <w:r w:rsidRPr="00923BDC">
              <w:rPr>
                <w:b/>
                <w:bCs/>
                <w:sz w:val="20"/>
                <w:szCs w:val="20"/>
                <w:lang w:eastAsia="it-IT"/>
              </w:rPr>
              <w:t xml:space="preserve">               72,6 </w:t>
            </w:r>
          </w:p>
        </w:tc>
      </w:tr>
      <w:tr w:rsidR="00923BDC" w:rsidRPr="00923BDC" w:rsidTr="00052555">
        <w:trPr>
          <w:trHeight w:val="260"/>
        </w:trPr>
        <w:tc>
          <w:tcPr>
            <w:tcW w:w="5429"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56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56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252"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r>
      <w:tr w:rsidR="00923BDC" w:rsidRPr="00923BDC" w:rsidTr="00052555">
        <w:trPr>
          <w:trHeight w:val="260"/>
        </w:trPr>
        <w:tc>
          <w:tcPr>
            <w:tcW w:w="5429"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Crediti finanziari non correnti</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 </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 </w:t>
            </w:r>
          </w:p>
        </w:tc>
        <w:tc>
          <w:tcPr>
            <w:tcW w:w="125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center"/>
              <w:rPr>
                <w:b/>
                <w:bCs/>
                <w:color w:val="000000"/>
                <w:sz w:val="20"/>
                <w:szCs w:val="20"/>
                <w:lang w:eastAsia="it-IT"/>
              </w:rPr>
            </w:pPr>
            <w:r w:rsidRPr="00923BDC">
              <w:rPr>
                <w:b/>
                <w:bCs/>
                <w:color w:val="000000"/>
                <w:sz w:val="20"/>
                <w:szCs w:val="20"/>
                <w:lang w:eastAsia="it-IT"/>
              </w:rPr>
              <w:t> </w:t>
            </w:r>
          </w:p>
        </w:tc>
      </w:tr>
      <w:tr w:rsidR="00923BDC" w:rsidRPr="00923BDC" w:rsidTr="00052555">
        <w:trPr>
          <w:trHeight w:val="260"/>
        </w:trPr>
        <w:tc>
          <w:tcPr>
            <w:tcW w:w="542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Attività finanziarie per strumenti derivati</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20"/>
                <w:szCs w:val="20"/>
                <w:lang w:eastAsia="it-IT"/>
              </w:rPr>
            </w:pPr>
            <w:r w:rsidRPr="00923BDC">
              <w:rPr>
                <w:sz w:val="20"/>
                <w:szCs w:val="20"/>
                <w:lang w:eastAsia="it-IT"/>
              </w:rPr>
              <w:t xml:space="preserve">                            - </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20"/>
                <w:szCs w:val="20"/>
                <w:lang w:eastAsia="it-IT"/>
              </w:rPr>
            </w:pPr>
            <w:r w:rsidRPr="00923BDC">
              <w:rPr>
                <w:sz w:val="20"/>
                <w:szCs w:val="20"/>
                <w:lang w:eastAsia="it-IT"/>
              </w:rPr>
              <w:t xml:space="preserve">                            - </w:t>
            </w:r>
          </w:p>
        </w:tc>
        <w:tc>
          <w:tcPr>
            <w:tcW w:w="125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20"/>
                <w:szCs w:val="20"/>
                <w:lang w:eastAsia="it-IT"/>
              </w:rPr>
            </w:pPr>
            <w:r w:rsidRPr="00923BDC">
              <w:rPr>
                <w:sz w:val="20"/>
                <w:szCs w:val="20"/>
                <w:lang w:eastAsia="it-IT"/>
              </w:rPr>
              <w:t xml:space="preserve">                      - </w:t>
            </w:r>
          </w:p>
        </w:tc>
      </w:tr>
      <w:tr w:rsidR="00923BDC" w:rsidRPr="00923BDC" w:rsidTr="00052555">
        <w:trPr>
          <w:trHeight w:val="260"/>
        </w:trPr>
        <w:tc>
          <w:tcPr>
            <w:tcW w:w="5429"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C) Totale crediti finanziari non correnti</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 xml:space="preserve">                            - </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 xml:space="preserve">                            - </w:t>
            </w:r>
          </w:p>
        </w:tc>
        <w:tc>
          <w:tcPr>
            <w:tcW w:w="125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sz w:val="20"/>
                <w:szCs w:val="20"/>
                <w:lang w:eastAsia="it-IT"/>
              </w:rPr>
            </w:pPr>
            <w:r w:rsidRPr="00923BDC">
              <w:rPr>
                <w:b/>
                <w:bCs/>
                <w:sz w:val="20"/>
                <w:szCs w:val="20"/>
                <w:lang w:eastAsia="it-IT"/>
              </w:rPr>
              <w:t xml:space="preserve">                      - </w:t>
            </w:r>
          </w:p>
        </w:tc>
      </w:tr>
      <w:tr w:rsidR="00923BDC" w:rsidRPr="00923BDC" w:rsidTr="00052555">
        <w:trPr>
          <w:trHeight w:val="260"/>
        </w:trPr>
        <w:tc>
          <w:tcPr>
            <w:tcW w:w="5429"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56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56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252"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r>
      <w:tr w:rsidR="00923BDC" w:rsidRPr="00923BDC" w:rsidTr="00052555">
        <w:trPr>
          <w:trHeight w:val="260"/>
        </w:trPr>
        <w:tc>
          <w:tcPr>
            <w:tcW w:w="5429"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Debiti finanziari non correnti</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 </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 </w:t>
            </w:r>
          </w:p>
        </w:tc>
        <w:tc>
          <w:tcPr>
            <w:tcW w:w="125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center"/>
              <w:rPr>
                <w:b/>
                <w:bCs/>
                <w:color w:val="000000"/>
                <w:sz w:val="20"/>
                <w:szCs w:val="20"/>
                <w:lang w:eastAsia="it-IT"/>
              </w:rPr>
            </w:pPr>
            <w:r w:rsidRPr="00923BDC">
              <w:rPr>
                <w:b/>
                <w:bCs/>
                <w:color w:val="000000"/>
                <w:sz w:val="20"/>
                <w:szCs w:val="20"/>
                <w:lang w:eastAsia="it-IT"/>
              </w:rPr>
              <w:t> </w:t>
            </w:r>
          </w:p>
        </w:tc>
      </w:tr>
      <w:tr w:rsidR="00923BDC" w:rsidRPr="00923BDC" w:rsidTr="00052555">
        <w:trPr>
          <w:trHeight w:val="260"/>
        </w:trPr>
        <w:tc>
          <w:tcPr>
            <w:tcW w:w="542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Debiti finanziari non correnti</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20"/>
                <w:szCs w:val="20"/>
                <w:lang w:eastAsia="it-IT"/>
              </w:rPr>
            </w:pPr>
            <w:r w:rsidRPr="00923BDC">
              <w:rPr>
                <w:sz w:val="20"/>
                <w:szCs w:val="20"/>
                <w:lang w:eastAsia="it-IT"/>
              </w:rPr>
              <w:t>( 473,0)</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20"/>
                <w:szCs w:val="20"/>
                <w:lang w:eastAsia="it-IT"/>
              </w:rPr>
            </w:pPr>
            <w:r w:rsidRPr="00923BDC">
              <w:rPr>
                <w:sz w:val="20"/>
                <w:szCs w:val="20"/>
                <w:lang w:eastAsia="it-IT"/>
              </w:rPr>
              <w:t>( 380,8)</w:t>
            </w:r>
          </w:p>
        </w:tc>
        <w:tc>
          <w:tcPr>
            <w:tcW w:w="125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20"/>
                <w:szCs w:val="20"/>
                <w:lang w:eastAsia="it-IT"/>
              </w:rPr>
            </w:pPr>
            <w:r w:rsidRPr="00923BDC">
              <w:rPr>
                <w:sz w:val="20"/>
                <w:szCs w:val="20"/>
                <w:lang w:eastAsia="it-IT"/>
              </w:rPr>
              <w:t>( 92,2)</w:t>
            </w:r>
          </w:p>
        </w:tc>
      </w:tr>
      <w:tr w:rsidR="00923BDC" w:rsidRPr="00923BDC" w:rsidTr="00052555">
        <w:trPr>
          <w:trHeight w:val="260"/>
        </w:trPr>
        <w:tc>
          <w:tcPr>
            <w:tcW w:w="542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Passività finanziarie non correnti per strumenti derivati</w:t>
            </w:r>
          </w:p>
        </w:tc>
        <w:tc>
          <w:tcPr>
            <w:tcW w:w="156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20"/>
                <w:szCs w:val="20"/>
                <w:lang w:eastAsia="it-IT"/>
              </w:rPr>
            </w:pPr>
            <w:r w:rsidRPr="00923BDC">
              <w:rPr>
                <w:sz w:val="20"/>
                <w:szCs w:val="20"/>
                <w:lang w:eastAsia="it-IT"/>
              </w:rPr>
              <w:t>( 15,5)</w:t>
            </w:r>
          </w:p>
        </w:tc>
        <w:tc>
          <w:tcPr>
            <w:tcW w:w="1566"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20"/>
                <w:szCs w:val="20"/>
                <w:lang w:eastAsia="it-IT"/>
              </w:rPr>
            </w:pPr>
            <w:r w:rsidRPr="00923BDC">
              <w:rPr>
                <w:sz w:val="20"/>
                <w:szCs w:val="20"/>
                <w:lang w:eastAsia="it-IT"/>
              </w:rPr>
              <w:t>( 16,6)</w:t>
            </w:r>
          </w:p>
        </w:tc>
        <w:tc>
          <w:tcPr>
            <w:tcW w:w="1252"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20"/>
                <w:szCs w:val="20"/>
                <w:lang w:eastAsia="it-IT"/>
              </w:rPr>
            </w:pPr>
            <w:r w:rsidRPr="00923BDC">
              <w:rPr>
                <w:sz w:val="20"/>
                <w:szCs w:val="20"/>
                <w:lang w:eastAsia="it-IT"/>
              </w:rPr>
              <w:t xml:space="preserve">                  1,1 </w:t>
            </w:r>
          </w:p>
        </w:tc>
      </w:tr>
      <w:tr w:rsidR="00923BDC" w:rsidRPr="00923BDC" w:rsidTr="00052555">
        <w:trPr>
          <w:trHeight w:val="260"/>
        </w:trPr>
        <w:tc>
          <w:tcPr>
            <w:tcW w:w="5429"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D) Totale debiti finanziari non correnti</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20"/>
                <w:szCs w:val="20"/>
                <w:lang w:eastAsia="it-IT"/>
              </w:rPr>
            </w:pPr>
            <w:r w:rsidRPr="00923BDC">
              <w:rPr>
                <w:b/>
                <w:bCs/>
                <w:sz w:val="20"/>
                <w:szCs w:val="20"/>
                <w:lang w:eastAsia="it-IT"/>
              </w:rPr>
              <w:t>( 488,5)</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20"/>
                <w:szCs w:val="20"/>
                <w:lang w:eastAsia="it-IT"/>
              </w:rPr>
            </w:pPr>
            <w:r w:rsidRPr="00923BDC">
              <w:rPr>
                <w:b/>
                <w:bCs/>
                <w:sz w:val="20"/>
                <w:szCs w:val="20"/>
                <w:lang w:eastAsia="it-IT"/>
              </w:rPr>
              <w:t>( 397,4)</w:t>
            </w:r>
          </w:p>
        </w:tc>
        <w:tc>
          <w:tcPr>
            <w:tcW w:w="125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20"/>
                <w:szCs w:val="20"/>
                <w:lang w:eastAsia="it-IT"/>
              </w:rPr>
            </w:pPr>
            <w:r w:rsidRPr="00923BDC">
              <w:rPr>
                <w:b/>
                <w:bCs/>
                <w:sz w:val="20"/>
                <w:szCs w:val="20"/>
                <w:lang w:eastAsia="it-IT"/>
              </w:rPr>
              <w:t>( 91,1)</w:t>
            </w:r>
          </w:p>
        </w:tc>
      </w:tr>
      <w:tr w:rsidR="00923BDC" w:rsidRPr="00923BDC" w:rsidTr="00052555">
        <w:trPr>
          <w:trHeight w:val="260"/>
        </w:trPr>
        <w:tc>
          <w:tcPr>
            <w:tcW w:w="5429"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56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56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252"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r>
      <w:tr w:rsidR="00923BDC" w:rsidRPr="00923BDC" w:rsidTr="00052555">
        <w:trPr>
          <w:trHeight w:val="260"/>
        </w:trPr>
        <w:tc>
          <w:tcPr>
            <w:tcW w:w="5429"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(C+D) Totale (indebitamento) finanziario non corrente netto</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20"/>
                <w:szCs w:val="20"/>
                <w:lang w:eastAsia="it-IT"/>
              </w:rPr>
            </w:pPr>
            <w:r w:rsidRPr="00923BDC">
              <w:rPr>
                <w:b/>
                <w:bCs/>
                <w:sz w:val="20"/>
                <w:szCs w:val="20"/>
                <w:lang w:eastAsia="it-IT"/>
              </w:rPr>
              <w:t>( 488,5)</w:t>
            </w:r>
          </w:p>
        </w:tc>
        <w:tc>
          <w:tcPr>
            <w:tcW w:w="1566"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20"/>
                <w:szCs w:val="20"/>
                <w:lang w:eastAsia="it-IT"/>
              </w:rPr>
            </w:pPr>
            <w:r w:rsidRPr="00923BDC">
              <w:rPr>
                <w:b/>
                <w:bCs/>
                <w:sz w:val="20"/>
                <w:szCs w:val="20"/>
                <w:lang w:eastAsia="it-IT"/>
              </w:rPr>
              <w:t>( 397,4)</w:t>
            </w:r>
          </w:p>
        </w:tc>
        <w:tc>
          <w:tcPr>
            <w:tcW w:w="1252"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20"/>
                <w:szCs w:val="20"/>
                <w:lang w:eastAsia="it-IT"/>
              </w:rPr>
            </w:pPr>
            <w:r w:rsidRPr="00923BDC">
              <w:rPr>
                <w:b/>
                <w:bCs/>
                <w:sz w:val="20"/>
                <w:szCs w:val="20"/>
                <w:lang w:eastAsia="it-IT"/>
              </w:rPr>
              <w:t>( 91,1)</w:t>
            </w:r>
          </w:p>
        </w:tc>
      </w:tr>
      <w:tr w:rsidR="00923BDC" w:rsidRPr="00923BDC" w:rsidTr="00052555">
        <w:trPr>
          <w:trHeight w:val="260"/>
        </w:trPr>
        <w:tc>
          <w:tcPr>
            <w:tcW w:w="5429"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56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566"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c>
          <w:tcPr>
            <w:tcW w:w="1252"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color w:val="000000"/>
                <w:sz w:val="20"/>
                <w:szCs w:val="20"/>
                <w:lang w:eastAsia="it-IT"/>
              </w:rPr>
            </w:pPr>
            <w:r w:rsidRPr="00923BDC">
              <w:rPr>
                <w:color w:val="000000"/>
                <w:sz w:val="20"/>
                <w:szCs w:val="20"/>
                <w:lang w:eastAsia="it-IT"/>
              </w:rPr>
              <w:t> </w:t>
            </w:r>
          </w:p>
        </w:tc>
      </w:tr>
      <w:tr w:rsidR="00923BDC" w:rsidRPr="00923BDC" w:rsidTr="00052555">
        <w:trPr>
          <w:trHeight w:val="353"/>
        </w:trPr>
        <w:tc>
          <w:tcPr>
            <w:tcW w:w="5429" w:type="dxa"/>
            <w:tcBorders>
              <w:top w:val="single" w:sz="4" w:space="0" w:color="auto"/>
              <w:left w:val="nil"/>
              <w:bottom w:val="double" w:sz="6" w:space="0" w:color="auto"/>
              <w:right w:val="nil"/>
            </w:tcBorders>
            <w:shd w:val="clear" w:color="000000" w:fill="FFFFFF"/>
            <w:noWrap/>
            <w:vAlign w:val="center"/>
            <w:hideMark/>
          </w:tcPr>
          <w:p w:rsidR="00923BDC" w:rsidRPr="00923BDC" w:rsidRDefault="00923BDC" w:rsidP="00923BDC">
            <w:pPr>
              <w:widowControl/>
              <w:suppressAutoHyphens w:val="0"/>
              <w:rPr>
                <w:b/>
                <w:bCs/>
                <w:color w:val="000000"/>
                <w:sz w:val="20"/>
                <w:szCs w:val="20"/>
                <w:lang w:eastAsia="it-IT"/>
              </w:rPr>
            </w:pPr>
            <w:r w:rsidRPr="00923BDC">
              <w:rPr>
                <w:b/>
                <w:bCs/>
                <w:color w:val="000000"/>
                <w:sz w:val="20"/>
                <w:szCs w:val="20"/>
                <w:lang w:eastAsia="it-IT"/>
              </w:rPr>
              <w:t>TOTALE (Indebitamento) Finanziario Netto</w:t>
            </w:r>
          </w:p>
        </w:tc>
        <w:tc>
          <w:tcPr>
            <w:tcW w:w="1566" w:type="dxa"/>
            <w:tcBorders>
              <w:top w:val="single" w:sz="4" w:space="0" w:color="auto"/>
              <w:left w:val="nil"/>
              <w:bottom w:val="double" w:sz="6" w:space="0" w:color="auto"/>
              <w:right w:val="nil"/>
            </w:tcBorders>
            <w:shd w:val="clear" w:color="000000" w:fill="FFFFFF"/>
            <w:noWrap/>
            <w:vAlign w:val="center"/>
            <w:hideMark/>
          </w:tcPr>
          <w:p w:rsidR="00923BDC" w:rsidRPr="00923BDC" w:rsidRDefault="00923BDC" w:rsidP="00923BDC">
            <w:pPr>
              <w:widowControl/>
              <w:suppressAutoHyphens w:val="0"/>
              <w:jc w:val="right"/>
              <w:rPr>
                <w:b/>
                <w:bCs/>
                <w:sz w:val="20"/>
                <w:szCs w:val="20"/>
                <w:lang w:eastAsia="it-IT"/>
              </w:rPr>
            </w:pPr>
            <w:r w:rsidRPr="00923BDC">
              <w:rPr>
                <w:b/>
                <w:bCs/>
                <w:sz w:val="20"/>
                <w:szCs w:val="20"/>
                <w:lang w:eastAsia="it-IT"/>
              </w:rPr>
              <w:t>( 989,3)</w:t>
            </w:r>
          </w:p>
        </w:tc>
        <w:tc>
          <w:tcPr>
            <w:tcW w:w="1566" w:type="dxa"/>
            <w:tcBorders>
              <w:top w:val="single" w:sz="4" w:space="0" w:color="auto"/>
              <w:left w:val="nil"/>
              <w:bottom w:val="double" w:sz="6" w:space="0" w:color="auto"/>
              <w:right w:val="nil"/>
            </w:tcBorders>
            <w:shd w:val="clear" w:color="000000" w:fill="FFFFFF"/>
            <w:noWrap/>
            <w:vAlign w:val="center"/>
            <w:hideMark/>
          </w:tcPr>
          <w:p w:rsidR="00923BDC" w:rsidRPr="00923BDC" w:rsidRDefault="00923BDC" w:rsidP="00923BDC">
            <w:pPr>
              <w:widowControl/>
              <w:suppressAutoHyphens w:val="0"/>
              <w:jc w:val="right"/>
              <w:rPr>
                <w:b/>
                <w:bCs/>
                <w:sz w:val="20"/>
                <w:szCs w:val="20"/>
                <w:lang w:eastAsia="it-IT"/>
              </w:rPr>
            </w:pPr>
            <w:r w:rsidRPr="00923BDC">
              <w:rPr>
                <w:b/>
                <w:bCs/>
                <w:sz w:val="20"/>
                <w:szCs w:val="20"/>
                <w:lang w:eastAsia="it-IT"/>
              </w:rPr>
              <w:t>( 970,8)</w:t>
            </w:r>
          </w:p>
        </w:tc>
        <w:tc>
          <w:tcPr>
            <w:tcW w:w="1252" w:type="dxa"/>
            <w:tcBorders>
              <w:top w:val="single" w:sz="4" w:space="0" w:color="auto"/>
              <w:left w:val="nil"/>
              <w:bottom w:val="double" w:sz="6" w:space="0" w:color="auto"/>
              <w:right w:val="nil"/>
            </w:tcBorders>
            <w:shd w:val="clear" w:color="000000" w:fill="FFFFFF"/>
            <w:noWrap/>
            <w:vAlign w:val="center"/>
            <w:hideMark/>
          </w:tcPr>
          <w:p w:rsidR="00923BDC" w:rsidRPr="00923BDC" w:rsidRDefault="00923BDC" w:rsidP="00923BDC">
            <w:pPr>
              <w:widowControl/>
              <w:suppressAutoHyphens w:val="0"/>
              <w:jc w:val="right"/>
              <w:rPr>
                <w:b/>
                <w:bCs/>
                <w:sz w:val="20"/>
                <w:szCs w:val="20"/>
                <w:lang w:eastAsia="it-IT"/>
              </w:rPr>
            </w:pPr>
            <w:r w:rsidRPr="00923BDC">
              <w:rPr>
                <w:b/>
                <w:bCs/>
                <w:sz w:val="20"/>
                <w:szCs w:val="20"/>
                <w:lang w:eastAsia="it-IT"/>
              </w:rPr>
              <w:t>( 18,5)</w:t>
            </w:r>
          </w:p>
        </w:tc>
      </w:tr>
    </w:tbl>
    <w:p w:rsidR="00923BDC" w:rsidRPr="00845BE8" w:rsidRDefault="00923BDC" w:rsidP="00923BDC">
      <w:pPr>
        <w:pStyle w:val="Paragrafoelenco"/>
        <w:ind w:left="0"/>
        <w:rPr>
          <w:szCs w:val="22"/>
          <w:highlight w:val="yellow"/>
        </w:rPr>
      </w:pPr>
    </w:p>
    <w:p w:rsidR="00923BDC" w:rsidRPr="00845BE8" w:rsidRDefault="00923BDC" w:rsidP="00923BDC">
      <w:pPr>
        <w:rPr>
          <w:b/>
          <w:highlight w:val="yellow"/>
        </w:rPr>
      </w:pPr>
    </w:p>
    <w:p w:rsidR="00923BDC" w:rsidRPr="00052555" w:rsidRDefault="00923BDC" w:rsidP="00923BDC">
      <w:pPr>
        <w:rPr>
          <w:sz w:val="22"/>
        </w:rPr>
      </w:pPr>
      <w:r w:rsidRPr="00052555">
        <w:rPr>
          <w:sz w:val="22"/>
        </w:rPr>
        <w:t xml:space="preserve">L’indebitamento finanziario netto della Società al 31 marzo 2015 è negativo per 989,3 milioni e registra un incremento rispetto al 31 dicembre 2014 di 18,5 milioni. </w:t>
      </w:r>
    </w:p>
    <w:p w:rsidR="00923BDC" w:rsidRPr="00052555" w:rsidRDefault="00923BDC" w:rsidP="00923BDC">
      <w:pPr>
        <w:ind w:firstLine="360"/>
        <w:rPr>
          <w:sz w:val="22"/>
        </w:rPr>
      </w:pPr>
    </w:p>
    <w:p w:rsidR="00923BDC" w:rsidRPr="00052555" w:rsidRDefault="00923BDC" w:rsidP="00923BDC">
      <w:pPr>
        <w:rPr>
          <w:sz w:val="22"/>
        </w:rPr>
      </w:pPr>
      <w:r w:rsidRPr="00052555">
        <w:rPr>
          <w:sz w:val="22"/>
        </w:rPr>
        <w:t xml:space="preserve">Tale variazione è generata essenzialmente dagli esborsi per i nuovi investimenti, per gli </w:t>
      </w:r>
      <w:proofErr w:type="gramStart"/>
      <w:r w:rsidRPr="00052555">
        <w:rPr>
          <w:sz w:val="22"/>
        </w:rPr>
        <w:t>oneri  non</w:t>
      </w:r>
      <w:proofErr w:type="gramEnd"/>
      <w:r w:rsidRPr="00052555">
        <w:rPr>
          <w:sz w:val="22"/>
        </w:rPr>
        <w:t xml:space="preserve"> ricorrenti sostenuti per il processo di ristrutturazione in atto,  per i versamenti in conto capitale/copertura perdite a favore di società controllate</w:t>
      </w:r>
      <w:r w:rsidRPr="00052555">
        <w:rPr>
          <w:sz w:val="22"/>
          <w:szCs w:val="22"/>
        </w:rPr>
        <w:t xml:space="preserve"> cui si aggiunge un assorbimento di cassa tipica </w:t>
      </w:r>
      <w:r w:rsidR="00555335">
        <w:rPr>
          <w:sz w:val="22"/>
          <w:szCs w:val="22"/>
        </w:rPr>
        <w:t xml:space="preserve">corrente </w:t>
      </w:r>
      <w:r w:rsidRPr="00052555">
        <w:rPr>
          <w:sz w:val="22"/>
          <w:szCs w:val="22"/>
        </w:rPr>
        <w:t>di natura stagionale</w:t>
      </w:r>
      <w:r w:rsidRPr="00052555">
        <w:rPr>
          <w:sz w:val="22"/>
        </w:rPr>
        <w:t xml:space="preserve">, in miglioramento rispetto a quanto assorbito nel 1° trimestre 2014. </w:t>
      </w:r>
    </w:p>
    <w:p w:rsidR="00923BDC" w:rsidRPr="00052555" w:rsidRDefault="00923BDC" w:rsidP="00923BDC">
      <w:pPr>
        <w:rPr>
          <w:sz w:val="22"/>
        </w:rPr>
      </w:pPr>
    </w:p>
    <w:p w:rsidR="00052555" w:rsidRPr="00052555" w:rsidRDefault="00052555" w:rsidP="00923BDC">
      <w:pPr>
        <w:rPr>
          <w:sz w:val="22"/>
        </w:rPr>
      </w:pPr>
    </w:p>
    <w:p w:rsidR="00052555" w:rsidRDefault="00052555" w:rsidP="00923BDC"/>
    <w:p w:rsidR="00052555" w:rsidRDefault="00052555" w:rsidP="00923BDC"/>
    <w:p w:rsidR="00052555" w:rsidRPr="00845BE8" w:rsidRDefault="00052555" w:rsidP="00923BDC">
      <w:pPr>
        <w:rPr>
          <w:b/>
          <w:highlight w:val="yellow"/>
        </w:rPr>
      </w:pPr>
    </w:p>
    <w:p w:rsidR="00923BDC" w:rsidRPr="00052555" w:rsidRDefault="00923BDC" w:rsidP="00052555">
      <w:pPr>
        <w:pStyle w:val="Paragrafoelenco"/>
        <w:widowControl/>
        <w:numPr>
          <w:ilvl w:val="0"/>
          <w:numId w:val="12"/>
        </w:numPr>
        <w:suppressAutoHyphens w:val="0"/>
        <w:spacing w:line="280" w:lineRule="exact"/>
        <w:ind w:left="1080"/>
        <w:jc w:val="both"/>
        <w:rPr>
          <w:b/>
          <w:sz w:val="22"/>
        </w:rPr>
      </w:pPr>
      <w:r w:rsidRPr="00052555">
        <w:rPr>
          <w:b/>
          <w:sz w:val="22"/>
        </w:rPr>
        <w:lastRenderedPageBreak/>
        <w:t>Le posizioni debitorie scadute e ripartite per natura (finanziaria, commerciale, tributaria e previdenziale) e le connesse eventuali iniziative di reazione dei creditori del Gruppo (solleciti, ingiunzioni, sospensioni nella fornitura)</w:t>
      </w:r>
    </w:p>
    <w:p w:rsidR="00052555" w:rsidRPr="00845BE8" w:rsidRDefault="00052555" w:rsidP="00923BDC">
      <w:pPr>
        <w:pStyle w:val="Paragrafoelenco"/>
        <w:ind w:left="1080"/>
        <w:rPr>
          <w:b/>
          <w:highlight w:val="yellow"/>
        </w:rPr>
      </w:pPr>
    </w:p>
    <w:tbl>
      <w:tblPr>
        <w:tblW w:w="9856" w:type="dxa"/>
        <w:tblCellMar>
          <w:left w:w="70" w:type="dxa"/>
          <w:right w:w="70" w:type="dxa"/>
        </w:tblCellMar>
        <w:tblLook w:val="04A0" w:firstRow="1" w:lastRow="0" w:firstColumn="1" w:lastColumn="0" w:noHBand="0" w:noVBand="1"/>
      </w:tblPr>
      <w:tblGrid>
        <w:gridCol w:w="2709"/>
        <w:gridCol w:w="821"/>
        <w:gridCol w:w="839"/>
        <w:gridCol w:w="978"/>
        <w:gridCol w:w="821"/>
        <w:gridCol w:w="978"/>
        <w:gridCol w:w="925"/>
        <w:gridCol w:w="821"/>
        <w:gridCol w:w="964"/>
      </w:tblGrid>
      <w:tr w:rsidR="00923BDC" w:rsidRPr="00923BDC" w:rsidTr="00923BDC">
        <w:trPr>
          <w:trHeight w:val="236"/>
        </w:trPr>
        <w:tc>
          <w:tcPr>
            <w:tcW w:w="2709"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w:t>
            </w:r>
            <w:proofErr w:type="gramStart"/>
            <w:r w:rsidRPr="00923BDC">
              <w:rPr>
                <w:sz w:val="18"/>
                <w:szCs w:val="18"/>
                <w:lang w:eastAsia="it-IT"/>
              </w:rPr>
              <w:t>in</w:t>
            </w:r>
            <w:proofErr w:type="gramEnd"/>
            <w:r w:rsidRPr="00923BDC">
              <w:rPr>
                <w:sz w:val="18"/>
                <w:szCs w:val="18"/>
                <w:lang w:eastAsia="it-IT"/>
              </w:rPr>
              <w:t xml:space="preserve"> milioni di euro)</w:t>
            </w:r>
          </w:p>
        </w:tc>
        <w:tc>
          <w:tcPr>
            <w:tcW w:w="7147" w:type="dxa"/>
            <w:gridSpan w:val="8"/>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 </w:t>
            </w:r>
          </w:p>
        </w:tc>
      </w:tr>
      <w:tr w:rsidR="00923BDC" w:rsidRPr="00923BDC" w:rsidTr="00923BDC">
        <w:trPr>
          <w:trHeight w:val="397"/>
        </w:trPr>
        <w:tc>
          <w:tcPr>
            <w:tcW w:w="9856" w:type="dxa"/>
            <w:gridSpan w:val="9"/>
            <w:tcBorders>
              <w:top w:val="single" w:sz="4" w:space="0" w:color="auto"/>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Analisi posizioni debitorie scadute</w:t>
            </w:r>
          </w:p>
        </w:tc>
      </w:tr>
      <w:tr w:rsidR="00923BDC" w:rsidRPr="00923BDC" w:rsidTr="00923BDC">
        <w:trPr>
          <w:trHeight w:val="706"/>
        </w:trPr>
        <w:tc>
          <w:tcPr>
            <w:tcW w:w="2709" w:type="dxa"/>
            <w:tcBorders>
              <w:top w:val="nil"/>
              <w:left w:val="nil"/>
              <w:bottom w:val="single" w:sz="4" w:space="0" w:color="auto"/>
              <w:right w:val="nil"/>
            </w:tcBorders>
            <w:shd w:val="clear" w:color="auto" w:fill="auto"/>
            <w:noWrap/>
            <w:vAlign w:val="center"/>
            <w:hideMark/>
          </w:tcPr>
          <w:p w:rsidR="00923BDC" w:rsidRPr="00923BDC" w:rsidRDefault="00923BDC" w:rsidP="00923BDC">
            <w:pPr>
              <w:widowControl/>
              <w:suppressAutoHyphens w:val="0"/>
              <w:jc w:val="center"/>
              <w:rPr>
                <w:b/>
                <w:bCs/>
                <w:sz w:val="18"/>
                <w:szCs w:val="18"/>
                <w:lang w:eastAsia="it-IT"/>
              </w:rPr>
            </w:pPr>
            <w:r w:rsidRPr="00923BDC">
              <w:rPr>
                <w:b/>
                <w:bCs/>
                <w:sz w:val="18"/>
                <w:szCs w:val="18"/>
                <w:lang w:eastAsia="it-IT"/>
              </w:rPr>
              <w:t>31/03/2015</w:t>
            </w:r>
          </w:p>
        </w:tc>
        <w:tc>
          <w:tcPr>
            <w:tcW w:w="821"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sz w:val="18"/>
                <w:szCs w:val="18"/>
                <w:lang w:eastAsia="it-IT"/>
              </w:rPr>
            </w:pPr>
            <w:proofErr w:type="gramStart"/>
            <w:r w:rsidRPr="00923BDC">
              <w:rPr>
                <w:sz w:val="18"/>
                <w:szCs w:val="18"/>
                <w:lang w:eastAsia="it-IT"/>
              </w:rPr>
              <w:t>30  giorni</w:t>
            </w:r>
            <w:proofErr w:type="gramEnd"/>
          </w:p>
        </w:tc>
        <w:tc>
          <w:tcPr>
            <w:tcW w:w="839"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sz w:val="18"/>
                <w:szCs w:val="18"/>
                <w:lang w:eastAsia="it-IT"/>
              </w:rPr>
            </w:pPr>
            <w:r w:rsidRPr="00923BDC">
              <w:rPr>
                <w:sz w:val="18"/>
                <w:szCs w:val="18"/>
                <w:lang w:eastAsia="it-IT"/>
              </w:rPr>
              <w:t>31 - 90 giorni</w:t>
            </w:r>
          </w:p>
        </w:tc>
        <w:tc>
          <w:tcPr>
            <w:tcW w:w="978"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sz w:val="18"/>
                <w:szCs w:val="18"/>
                <w:lang w:eastAsia="it-IT"/>
              </w:rPr>
            </w:pPr>
            <w:r w:rsidRPr="00923BDC">
              <w:rPr>
                <w:sz w:val="18"/>
                <w:szCs w:val="18"/>
                <w:lang w:eastAsia="it-IT"/>
              </w:rPr>
              <w:t xml:space="preserve">91 - </w:t>
            </w:r>
            <w:proofErr w:type="gramStart"/>
            <w:r w:rsidRPr="00923BDC">
              <w:rPr>
                <w:sz w:val="18"/>
                <w:szCs w:val="18"/>
                <w:lang w:eastAsia="it-IT"/>
              </w:rPr>
              <w:t>180  giorni</w:t>
            </w:r>
            <w:proofErr w:type="gramEnd"/>
          </w:p>
        </w:tc>
        <w:tc>
          <w:tcPr>
            <w:tcW w:w="821"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sz w:val="18"/>
                <w:szCs w:val="18"/>
                <w:lang w:eastAsia="it-IT"/>
              </w:rPr>
            </w:pPr>
            <w:r w:rsidRPr="00923BDC">
              <w:rPr>
                <w:sz w:val="18"/>
                <w:szCs w:val="18"/>
                <w:lang w:eastAsia="it-IT"/>
              </w:rPr>
              <w:t>181-360 giorni</w:t>
            </w:r>
          </w:p>
        </w:tc>
        <w:tc>
          <w:tcPr>
            <w:tcW w:w="978"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sz w:val="18"/>
                <w:szCs w:val="18"/>
                <w:lang w:eastAsia="it-IT"/>
              </w:rPr>
            </w:pPr>
            <w:r w:rsidRPr="00923BDC">
              <w:rPr>
                <w:sz w:val="18"/>
                <w:szCs w:val="18"/>
                <w:lang w:eastAsia="it-IT"/>
              </w:rPr>
              <w:t>&gt; 360 giorni</w:t>
            </w:r>
          </w:p>
        </w:tc>
        <w:tc>
          <w:tcPr>
            <w:tcW w:w="925" w:type="dxa"/>
            <w:tcBorders>
              <w:top w:val="nil"/>
              <w:left w:val="single" w:sz="4" w:space="0" w:color="auto"/>
              <w:bottom w:val="single" w:sz="4" w:space="0" w:color="auto"/>
              <w:right w:val="single" w:sz="4" w:space="0" w:color="auto"/>
            </w:tcBorders>
            <w:shd w:val="clear" w:color="000000" w:fill="FFFFFF"/>
            <w:vAlign w:val="center"/>
            <w:hideMark/>
          </w:tcPr>
          <w:p w:rsidR="00923BDC" w:rsidRPr="00923BDC" w:rsidRDefault="00923BDC" w:rsidP="00923BDC">
            <w:pPr>
              <w:widowControl/>
              <w:suppressAutoHyphens w:val="0"/>
              <w:jc w:val="center"/>
              <w:rPr>
                <w:sz w:val="18"/>
                <w:szCs w:val="18"/>
                <w:lang w:eastAsia="it-IT"/>
              </w:rPr>
            </w:pPr>
            <w:r w:rsidRPr="00923BDC">
              <w:rPr>
                <w:sz w:val="18"/>
                <w:szCs w:val="18"/>
                <w:lang w:eastAsia="it-IT"/>
              </w:rPr>
              <w:t>Totale Scaduto</w:t>
            </w:r>
          </w:p>
        </w:tc>
        <w:tc>
          <w:tcPr>
            <w:tcW w:w="821" w:type="dxa"/>
            <w:tcBorders>
              <w:top w:val="nil"/>
              <w:left w:val="nil"/>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sz w:val="18"/>
                <w:szCs w:val="18"/>
                <w:lang w:eastAsia="it-IT"/>
              </w:rPr>
            </w:pPr>
            <w:r w:rsidRPr="00923BDC">
              <w:rPr>
                <w:sz w:val="18"/>
                <w:szCs w:val="18"/>
                <w:lang w:eastAsia="it-IT"/>
              </w:rPr>
              <w:t>A scadere</w:t>
            </w:r>
          </w:p>
        </w:tc>
        <w:tc>
          <w:tcPr>
            <w:tcW w:w="963" w:type="dxa"/>
            <w:tcBorders>
              <w:top w:val="nil"/>
              <w:left w:val="single" w:sz="4" w:space="0" w:color="auto"/>
              <w:bottom w:val="single" w:sz="4" w:space="0" w:color="auto"/>
              <w:right w:val="nil"/>
            </w:tcBorders>
            <w:shd w:val="clear" w:color="000000" w:fill="FFFFFF"/>
            <w:vAlign w:val="center"/>
            <w:hideMark/>
          </w:tcPr>
          <w:p w:rsidR="00923BDC" w:rsidRPr="00923BDC" w:rsidRDefault="00923BDC" w:rsidP="00923BDC">
            <w:pPr>
              <w:widowControl/>
              <w:suppressAutoHyphens w:val="0"/>
              <w:jc w:val="center"/>
              <w:rPr>
                <w:sz w:val="18"/>
                <w:szCs w:val="18"/>
                <w:lang w:eastAsia="it-IT"/>
              </w:rPr>
            </w:pPr>
            <w:r w:rsidRPr="00923BDC">
              <w:rPr>
                <w:sz w:val="18"/>
                <w:szCs w:val="18"/>
                <w:lang w:eastAsia="it-IT"/>
              </w:rPr>
              <w:t>Totale</w:t>
            </w:r>
          </w:p>
        </w:tc>
      </w:tr>
      <w:tr w:rsidR="00923BDC" w:rsidRPr="00923BDC" w:rsidTr="00923BDC">
        <w:trPr>
          <w:trHeight w:val="236"/>
        </w:trPr>
        <w:tc>
          <w:tcPr>
            <w:tcW w:w="2709"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21"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39"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978"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21"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978"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925" w:type="dxa"/>
            <w:tcBorders>
              <w:top w:val="nil"/>
              <w:left w:val="single" w:sz="4" w:space="0" w:color="auto"/>
              <w:bottom w:val="nil"/>
              <w:right w:val="single" w:sz="4" w:space="0" w:color="auto"/>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21" w:type="dxa"/>
            <w:tcBorders>
              <w:top w:val="nil"/>
              <w:left w:val="nil"/>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963" w:type="dxa"/>
            <w:tcBorders>
              <w:top w:val="nil"/>
              <w:left w:val="single" w:sz="4" w:space="0" w:color="auto"/>
              <w:bottom w:val="nil"/>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r>
      <w:tr w:rsidR="00923BDC" w:rsidRPr="00923BDC" w:rsidTr="00923BDC">
        <w:trPr>
          <w:trHeight w:val="236"/>
        </w:trPr>
        <w:tc>
          <w:tcPr>
            <w:tcW w:w="270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Posizioni Debitorie Commerciali</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11,4</w:t>
            </w:r>
          </w:p>
        </w:tc>
        <w:tc>
          <w:tcPr>
            <w:tcW w:w="83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21,6</w:t>
            </w:r>
          </w:p>
        </w:tc>
        <w:tc>
          <w:tcPr>
            <w:tcW w:w="97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6,7</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5,9</w:t>
            </w:r>
          </w:p>
        </w:tc>
        <w:tc>
          <w:tcPr>
            <w:tcW w:w="97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22,7</w:t>
            </w:r>
          </w:p>
        </w:tc>
        <w:tc>
          <w:tcPr>
            <w:tcW w:w="925" w:type="dxa"/>
            <w:tcBorders>
              <w:top w:val="nil"/>
              <w:left w:val="single" w:sz="4" w:space="0" w:color="auto"/>
              <w:bottom w:val="single" w:sz="4" w:space="0" w:color="auto"/>
              <w:right w:val="single" w:sz="4" w:space="0" w:color="auto"/>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68,3</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309,0</w:t>
            </w:r>
          </w:p>
        </w:tc>
        <w:tc>
          <w:tcPr>
            <w:tcW w:w="963" w:type="dxa"/>
            <w:tcBorders>
              <w:top w:val="nil"/>
              <w:left w:val="single" w:sz="4" w:space="0" w:color="auto"/>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377,3</w:t>
            </w:r>
          </w:p>
        </w:tc>
      </w:tr>
      <w:tr w:rsidR="00923BDC" w:rsidRPr="00923BDC" w:rsidTr="00923BDC">
        <w:trPr>
          <w:trHeight w:val="236"/>
        </w:trPr>
        <w:tc>
          <w:tcPr>
            <w:tcW w:w="270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Posizioni Debitorie Finanziarie</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3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97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97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925" w:type="dxa"/>
            <w:tcBorders>
              <w:top w:val="nil"/>
              <w:left w:val="single" w:sz="4" w:space="0" w:color="auto"/>
              <w:bottom w:val="single" w:sz="4" w:space="0" w:color="auto"/>
              <w:right w:val="single" w:sz="4" w:space="0" w:color="auto"/>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75,2</w:t>
            </w:r>
          </w:p>
        </w:tc>
        <w:tc>
          <w:tcPr>
            <w:tcW w:w="963" w:type="dxa"/>
            <w:tcBorders>
              <w:top w:val="nil"/>
              <w:left w:val="single" w:sz="4" w:space="0" w:color="auto"/>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75,2</w:t>
            </w:r>
          </w:p>
        </w:tc>
      </w:tr>
      <w:tr w:rsidR="00923BDC" w:rsidRPr="00923BDC" w:rsidTr="00923BDC">
        <w:trPr>
          <w:trHeight w:val="236"/>
        </w:trPr>
        <w:tc>
          <w:tcPr>
            <w:tcW w:w="2709" w:type="dxa"/>
            <w:tcBorders>
              <w:top w:val="nil"/>
              <w:left w:val="nil"/>
              <w:bottom w:val="single" w:sz="4" w:space="0" w:color="auto"/>
              <w:right w:val="nil"/>
            </w:tcBorders>
            <w:shd w:val="clear" w:color="000000" w:fill="FFFFFF"/>
            <w:noWrap/>
            <w:vAlign w:val="center"/>
            <w:hideMark/>
          </w:tcPr>
          <w:p w:rsidR="00923BDC" w:rsidRPr="00923BDC" w:rsidRDefault="00923BDC" w:rsidP="00923BDC">
            <w:pPr>
              <w:widowControl/>
              <w:suppressAutoHyphens w:val="0"/>
              <w:rPr>
                <w:sz w:val="18"/>
                <w:szCs w:val="18"/>
                <w:lang w:eastAsia="it-IT"/>
              </w:rPr>
            </w:pPr>
            <w:r w:rsidRPr="00923BDC">
              <w:rPr>
                <w:sz w:val="18"/>
                <w:szCs w:val="18"/>
                <w:lang w:eastAsia="it-IT"/>
              </w:rPr>
              <w:t>Posizioni debitorie tributarie</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3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97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97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925" w:type="dxa"/>
            <w:tcBorders>
              <w:top w:val="nil"/>
              <w:left w:val="single" w:sz="4" w:space="0" w:color="auto"/>
              <w:bottom w:val="single" w:sz="4" w:space="0" w:color="auto"/>
              <w:right w:val="single" w:sz="4" w:space="0" w:color="auto"/>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11,8</w:t>
            </w:r>
          </w:p>
        </w:tc>
        <w:tc>
          <w:tcPr>
            <w:tcW w:w="963" w:type="dxa"/>
            <w:tcBorders>
              <w:top w:val="nil"/>
              <w:left w:val="single" w:sz="4" w:space="0" w:color="auto"/>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11,8</w:t>
            </w:r>
          </w:p>
        </w:tc>
      </w:tr>
      <w:tr w:rsidR="00923BDC" w:rsidRPr="00923BDC" w:rsidTr="00923BDC">
        <w:trPr>
          <w:trHeight w:val="236"/>
        </w:trPr>
        <w:tc>
          <w:tcPr>
            <w:tcW w:w="2709" w:type="dxa"/>
            <w:tcBorders>
              <w:top w:val="nil"/>
              <w:left w:val="nil"/>
              <w:bottom w:val="single" w:sz="4" w:space="0" w:color="auto"/>
              <w:right w:val="nil"/>
            </w:tcBorders>
            <w:shd w:val="clear" w:color="000000" w:fill="FFFFFF"/>
            <w:noWrap/>
            <w:vAlign w:val="center"/>
            <w:hideMark/>
          </w:tcPr>
          <w:p w:rsidR="00923BDC" w:rsidRPr="00923BDC" w:rsidRDefault="00923BDC" w:rsidP="00923BDC">
            <w:pPr>
              <w:widowControl/>
              <w:suppressAutoHyphens w:val="0"/>
              <w:rPr>
                <w:sz w:val="18"/>
                <w:szCs w:val="18"/>
                <w:lang w:eastAsia="it-IT"/>
              </w:rPr>
            </w:pPr>
            <w:r w:rsidRPr="00923BDC">
              <w:rPr>
                <w:sz w:val="18"/>
                <w:szCs w:val="18"/>
                <w:lang w:eastAsia="it-IT"/>
              </w:rPr>
              <w:t>Posizioni debitorie previdenziali</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3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97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97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925" w:type="dxa"/>
            <w:tcBorders>
              <w:top w:val="nil"/>
              <w:left w:val="single" w:sz="4" w:space="0" w:color="auto"/>
              <w:bottom w:val="single" w:sz="4" w:space="0" w:color="auto"/>
              <w:right w:val="single" w:sz="4" w:space="0" w:color="auto"/>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10,2</w:t>
            </w:r>
          </w:p>
        </w:tc>
        <w:tc>
          <w:tcPr>
            <w:tcW w:w="963" w:type="dxa"/>
            <w:tcBorders>
              <w:top w:val="nil"/>
              <w:left w:val="single" w:sz="4" w:space="0" w:color="auto"/>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10,2</w:t>
            </w:r>
          </w:p>
        </w:tc>
      </w:tr>
      <w:tr w:rsidR="00923BDC" w:rsidRPr="00923BDC" w:rsidTr="00923BDC">
        <w:trPr>
          <w:trHeight w:val="236"/>
        </w:trPr>
        <w:tc>
          <w:tcPr>
            <w:tcW w:w="2709" w:type="dxa"/>
            <w:tcBorders>
              <w:top w:val="nil"/>
              <w:left w:val="nil"/>
              <w:bottom w:val="nil"/>
              <w:right w:val="nil"/>
            </w:tcBorders>
            <w:shd w:val="clear" w:color="000000" w:fill="FFFFFF"/>
            <w:noWrap/>
            <w:vAlign w:val="center"/>
            <w:hideMark/>
          </w:tcPr>
          <w:p w:rsidR="00923BDC" w:rsidRPr="00923BDC" w:rsidRDefault="00923BDC" w:rsidP="00923BDC">
            <w:pPr>
              <w:widowControl/>
              <w:suppressAutoHyphens w:val="0"/>
              <w:rPr>
                <w:sz w:val="18"/>
                <w:szCs w:val="18"/>
                <w:lang w:eastAsia="it-IT"/>
              </w:rPr>
            </w:pPr>
            <w:r w:rsidRPr="00923BDC">
              <w:rPr>
                <w:sz w:val="18"/>
                <w:szCs w:val="18"/>
                <w:lang w:eastAsia="it-IT"/>
              </w:rPr>
              <w:t>Posizioni debitorie altre</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39"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0,1</w:t>
            </w:r>
          </w:p>
        </w:tc>
        <w:tc>
          <w:tcPr>
            <w:tcW w:w="97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rPr>
                <w:sz w:val="18"/>
                <w:szCs w:val="18"/>
                <w:lang w:eastAsia="it-IT"/>
              </w:rPr>
            </w:pPr>
            <w:r w:rsidRPr="00923BDC">
              <w:rPr>
                <w:sz w:val="18"/>
                <w:szCs w:val="18"/>
                <w:lang w:eastAsia="it-IT"/>
              </w:rPr>
              <w:t> </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0,1</w:t>
            </w:r>
          </w:p>
        </w:tc>
        <w:tc>
          <w:tcPr>
            <w:tcW w:w="978"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0,1</w:t>
            </w:r>
          </w:p>
        </w:tc>
        <w:tc>
          <w:tcPr>
            <w:tcW w:w="925" w:type="dxa"/>
            <w:tcBorders>
              <w:top w:val="nil"/>
              <w:left w:val="single" w:sz="4" w:space="0" w:color="auto"/>
              <w:bottom w:val="nil"/>
              <w:right w:val="single" w:sz="4" w:space="0" w:color="auto"/>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0,3</w:t>
            </w:r>
          </w:p>
        </w:tc>
        <w:tc>
          <w:tcPr>
            <w:tcW w:w="821" w:type="dxa"/>
            <w:tcBorders>
              <w:top w:val="nil"/>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94,8</w:t>
            </w:r>
          </w:p>
        </w:tc>
        <w:tc>
          <w:tcPr>
            <w:tcW w:w="963" w:type="dxa"/>
            <w:tcBorders>
              <w:top w:val="nil"/>
              <w:left w:val="single" w:sz="4" w:space="0" w:color="auto"/>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sz w:val="18"/>
                <w:szCs w:val="18"/>
                <w:lang w:eastAsia="it-IT"/>
              </w:rPr>
            </w:pPr>
            <w:r w:rsidRPr="00923BDC">
              <w:rPr>
                <w:sz w:val="18"/>
                <w:szCs w:val="18"/>
                <w:lang w:eastAsia="it-IT"/>
              </w:rPr>
              <w:t>95,1</w:t>
            </w:r>
          </w:p>
        </w:tc>
      </w:tr>
      <w:tr w:rsidR="00923BDC" w:rsidRPr="00923BDC" w:rsidTr="00923BDC">
        <w:trPr>
          <w:trHeight w:val="369"/>
        </w:trPr>
        <w:tc>
          <w:tcPr>
            <w:tcW w:w="2709" w:type="dxa"/>
            <w:tcBorders>
              <w:top w:val="single" w:sz="4" w:space="0" w:color="auto"/>
              <w:left w:val="nil"/>
              <w:bottom w:val="single" w:sz="4" w:space="0" w:color="auto"/>
              <w:right w:val="nil"/>
            </w:tcBorders>
            <w:shd w:val="clear" w:color="000000" w:fill="FFFFFF"/>
            <w:noWrap/>
            <w:vAlign w:val="center"/>
            <w:hideMark/>
          </w:tcPr>
          <w:p w:rsidR="00923BDC" w:rsidRPr="00923BDC" w:rsidRDefault="00923BDC" w:rsidP="00923BDC">
            <w:pPr>
              <w:widowControl/>
              <w:suppressAutoHyphens w:val="0"/>
              <w:rPr>
                <w:b/>
                <w:bCs/>
                <w:sz w:val="18"/>
                <w:szCs w:val="18"/>
                <w:lang w:eastAsia="it-IT"/>
              </w:rPr>
            </w:pPr>
            <w:r w:rsidRPr="00923BDC">
              <w:rPr>
                <w:b/>
                <w:bCs/>
                <w:sz w:val="18"/>
                <w:szCs w:val="18"/>
                <w:lang w:eastAsia="it-IT"/>
              </w:rPr>
              <w:t>Totale posizione debitorie</w:t>
            </w:r>
          </w:p>
        </w:tc>
        <w:tc>
          <w:tcPr>
            <w:tcW w:w="821"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11,4</w:t>
            </w:r>
          </w:p>
        </w:tc>
        <w:tc>
          <w:tcPr>
            <w:tcW w:w="839"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21,7</w:t>
            </w:r>
          </w:p>
        </w:tc>
        <w:tc>
          <w:tcPr>
            <w:tcW w:w="978"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6,7</w:t>
            </w:r>
          </w:p>
        </w:tc>
        <w:tc>
          <w:tcPr>
            <w:tcW w:w="821"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6,0</w:t>
            </w:r>
          </w:p>
        </w:tc>
        <w:tc>
          <w:tcPr>
            <w:tcW w:w="978"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22,8</w:t>
            </w: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68,6</w:t>
            </w:r>
          </w:p>
        </w:tc>
        <w:tc>
          <w:tcPr>
            <w:tcW w:w="821" w:type="dxa"/>
            <w:tcBorders>
              <w:top w:val="single" w:sz="4" w:space="0" w:color="auto"/>
              <w:left w:val="nil"/>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501,0</w:t>
            </w:r>
          </w:p>
        </w:tc>
        <w:tc>
          <w:tcPr>
            <w:tcW w:w="963" w:type="dxa"/>
            <w:tcBorders>
              <w:top w:val="single" w:sz="4" w:space="0" w:color="auto"/>
              <w:left w:val="single" w:sz="4" w:space="0" w:color="auto"/>
              <w:bottom w:val="single" w:sz="4" w:space="0" w:color="auto"/>
              <w:right w:val="nil"/>
            </w:tcBorders>
            <w:shd w:val="clear" w:color="000000" w:fill="FFFFFF"/>
            <w:noWrap/>
            <w:vAlign w:val="bottom"/>
            <w:hideMark/>
          </w:tcPr>
          <w:p w:rsidR="00923BDC" w:rsidRPr="00923BDC" w:rsidRDefault="00923BDC" w:rsidP="00923BDC">
            <w:pPr>
              <w:widowControl/>
              <w:suppressAutoHyphens w:val="0"/>
              <w:jc w:val="right"/>
              <w:rPr>
                <w:b/>
                <w:bCs/>
                <w:sz w:val="18"/>
                <w:szCs w:val="18"/>
                <w:lang w:eastAsia="it-IT"/>
              </w:rPr>
            </w:pPr>
            <w:r w:rsidRPr="00923BDC">
              <w:rPr>
                <w:b/>
                <w:bCs/>
                <w:sz w:val="18"/>
                <w:szCs w:val="18"/>
                <w:lang w:eastAsia="it-IT"/>
              </w:rPr>
              <w:t>569,6</w:t>
            </w:r>
          </w:p>
        </w:tc>
      </w:tr>
    </w:tbl>
    <w:p w:rsidR="00923BDC" w:rsidRPr="00845BE8" w:rsidRDefault="00923BDC" w:rsidP="00923BDC">
      <w:pPr>
        <w:rPr>
          <w:szCs w:val="22"/>
          <w:highlight w:val="yellow"/>
        </w:rPr>
      </w:pPr>
    </w:p>
    <w:p w:rsidR="00923BDC" w:rsidRPr="00845BE8" w:rsidRDefault="00923BDC" w:rsidP="00923BDC">
      <w:pPr>
        <w:rPr>
          <w:szCs w:val="22"/>
          <w:highlight w:val="yellow"/>
        </w:rPr>
      </w:pPr>
    </w:p>
    <w:p w:rsidR="00923BDC" w:rsidRPr="00052555" w:rsidRDefault="00923BDC" w:rsidP="00923BDC">
      <w:pPr>
        <w:rPr>
          <w:sz w:val="22"/>
          <w:szCs w:val="22"/>
        </w:rPr>
      </w:pPr>
      <w:r w:rsidRPr="00052555">
        <w:rPr>
          <w:sz w:val="22"/>
          <w:szCs w:val="22"/>
        </w:rPr>
        <w:t>Il totale delle passività correnti del Gruppo RCS al 31 marzo ammonta a 620,8 milioni, (675,4 milioni al 31 dicembre 2014) e si decrementa rispetto al 31 dicembre 2014 di 54,6 milioni. La voce depurata delle poste prive di una scadenza contrattuale, quali le quote a breve termine dei fondi rischi ed oneri nonché dei debiti derivanti dalla valutazione a patrimonio netto di partecipate del Gruppo, ammonta a 569,6</w:t>
      </w:r>
      <w:r w:rsidRPr="00052555">
        <w:rPr>
          <w:color w:val="FF0000"/>
          <w:sz w:val="22"/>
          <w:szCs w:val="22"/>
        </w:rPr>
        <w:t xml:space="preserve"> </w:t>
      </w:r>
      <w:r w:rsidRPr="00052555">
        <w:rPr>
          <w:sz w:val="22"/>
          <w:szCs w:val="22"/>
        </w:rPr>
        <w:t>milioni. Le posizioni non scadute, pari a 501 milioni, rappresentano circa l’88% del totale. Al 31 marzo 2015 non si evidenziano scaduti per posizioni debitorie finanziarie, tributarie e previdenziali.</w:t>
      </w:r>
    </w:p>
    <w:p w:rsidR="00923BDC" w:rsidRPr="00052555" w:rsidRDefault="00923BDC" w:rsidP="00923BDC">
      <w:pPr>
        <w:rPr>
          <w:sz w:val="22"/>
          <w:szCs w:val="22"/>
        </w:rPr>
      </w:pPr>
    </w:p>
    <w:p w:rsidR="00923BDC" w:rsidRPr="00052555" w:rsidRDefault="00923BDC" w:rsidP="00923BDC">
      <w:pPr>
        <w:rPr>
          <w:sz w:val="22"/>
          <w:szCs w:val="22"/>
        </w:rPr>
      </w:pPr>
      <w:r w:rsidRPr="00052555">
        <w:rPr>
          <w:sz w:val="22"/>
          <w:szCs w:val="22"/>
        </w:rPr>
        <w:t>Le posizioni debitorie scadute, prevalentemente di natura commerciale, ammontano complessivamente a 68,6 milioni (75,7 milioni al 31 dicembre 2014), evidenziando un decremento di 7,1 milioni originato prevalentemente dalla Capogruppo.</w:t>
      </w:r>
    </w:p>
    <w:p w:rsidR="00923BDC" w:rsidRPr="00052555" w:rsidRDefault="00923BDC" w:rsidP="00923BDC">
      <w:pPr>
        <w:rPr>
          <w:sz w:val="22"/>
          <w:szCs w:val="22"/>
          <w:highlight w:val="yellow"/>
        </w:rPr>
      </w:pPr>
    </w:p>
    <w:p w:rsidR="00923BDC" w:rsidRPr="00052555" w:rsidRDefault="00923BDC" w:rsidP="00923BDC">
      <w:pPr>
        <w:rPr>
          <w:sz w:val="22"/>
          <w:szCs w:val="22"/>
          <w:highlight w:val="yellow"/>
        </w:rPr>
      </w:pPr>
      <w:r w:rsidRPr="00052555">
        <w:rPr>
          <w:sz w:val="22"/>
          <w:szCs w:val="22"/>
        </w:rPr>
        <w:t>Le posizioni debitorie scadute comprendono 11,4 milioni di debiti scaduti entro i 30 giorni (12,8 milioni al 31 dicembre 2014) essenzialmente riconducibili all’operatività aziendale (cosiddetti scaduti tecnici). Inoltre le posizioni in scadenza il giorno 31 marzo 2015 sono convenzionalmente state classificate tra i debiti a scadere ed ammontano a circa 15,8 milioni. Lo scaduto residuo pari a 57,2 milioni include debiti verso agenti scaduti per complessivi 22,4 milioni (39,2% del totale scaduto residuo). La prassi del settore prevede, nel rapporto con gli agenti, l’erogazione di un anticipo mensile sulle attività di loro pertinenza che è iscritto in bilancio tra i crediti commerciali. Gli anticipi ad agenti riferibili ai debiti scaduti ammontano a circa 26,8 milioni, importo superiore allo scaduto specifico. Si precisa che i debiti verso agenti scaduti oltre i 360 giorni rappresentano circa il 67,9% di quella fascia di scaduto.</w:t>
      </w:r>
    </w:p>
    <w:p w:rsidR="00923BDC" w:rsidRPr="00052555" w:rsidRDefault="00923BDC" w:rsidP="00923BDC">
      <w:pPr>
        <w:rPr>
          <w:sz w:val="22"/>
          <w:szCs w:val="22"/>
          <w:highlight w:val="yellow"/>
        </w:rPr>
      </w:pPr>
      <w:r w:rsidRPr="00052555">
        <w:rPr>
          <w:sz w:val="22"/>
          <w:szCs w:val="22"/>
        </w:rPr>
        <w:t>Lo scaduto commerciale pari a 68,3 milioni (75,1 milioni al 31 dicembre 2014) si riferisce prevalentemente alla Capogruppo (43 milioni).</w:t>
      </w:r>
    </w:p>
    <w:p w:rsidR="00923BDC" w:rsidRPr="00052555" w:rsidRDefault="00923BDC" w:rsidP="00923BDC">
      <w:pPr>
        <w:rPr>
          <w:sz w:val="22"/>
          <w:highlight w:val="yellow"/>
        </w:rPr>
      </w:pPr>
    </w:p>
    <w:p w:rsidR="00923BDC" w:rsidRPr="00052555" w:rsidRDefault="00923BDC" w:rsidP="00923BDC">
      <w:pPr>
        <w:rPr>
          <w:sz w:val="22"/>
          <w:szCs w:val="22"/>
        </w:rPr>
      </w:pPr>
      <w:r w:rsidRPr="00052555">
        <w:rPr>
          <w:sz w:val="22"/>
        </w:rPr>
        <w:t>Rispetto a dicembre 2014 lo scaduto diminuisce di 7,1 milioni. Tale valore deriva principalmente da un decremento delle fasce 31-90 giorni (-3,5 milioni), &gt;360 giorni (-3 milioni) e nella fascia inferiore a 30 giorni (-1,4 milioni). Sostanzialmente stabili le fasce 91-180 giorni (+0,6 milioni) e 181-360 giorni (+0,2 milioni).</w:t>
      </w:r>
    </w:p>
    <w:p w:rsidR="00923BDC" w:rsidRPr="00052555" w:rsidRDefault="00923BDC" w:rsidP="00923BDC">
      <w:pPr>
        <w:rPr>
          <w:sz w:val="22"/>
        </w:rPr>
      </w:pPr>
    </w:p>
    <w:p w:rsidR="00052555" w:rsidRDefault="00923BDC" w:rsidP="00923BDC">
      <w:pPr>
        <w:rPr>
          <w:sz w:val="22"/>
        </w:rPr>
      </w:pPr>
      <w:r w:rsidRPr="00052555">
        <w:rPr>
          <w:sz w:val="22"/>
        </w:rPr>
        <w:t xml:space="preserve">Non si rilevano azioni legali volte al recupero di somme significative </w:t>
      </w:r>
      <w:proofErr w:type="spellStart"/>
      <w:r w:rsidRPr="00052555">
        <w:rPr>
          <w:sz w:val="22"/>
        </w:rPr>
        <w:t>asseritamente</w:t>
      </w:r>
      <w:proofErr w:type="spellEnd"/>
      <w:r w:rsidRPr="00052555">
        <w:rPr>
          <w:sz w:val="22"/>
        </w:rPr>
        <w:t xml:space="preserve"> dovute in forza di rapporti commerciali.</w:t>
      </w:r>
    </w:p>
    <w:p w:rsidR="00052555" w:rsidRPr="00052555" w:rsidRDefault="00052555" w:rsidP="00923BDC">
      <w:pPr>
        <w:rPr>
          <w:sz w:val="22"/>
        </w:rPr>
      </w:pPr>
    </w:p>
    <w:p w:rsidR="00923BDC" w:rsidRPr="00052555" w:rsidRDefault="00923BDC" w:rsidP="00923BDC">
      <w:pPr>
        <w:pStyle w:val="Paragrafoelenco"/>
        <w:widowControl/>
        <w:numPr>
          <w:ilvl w:val="0"/>
          <w:numId w:val="12"/>
        </w:numPr>
        <w:suppressAutoHyphens w:val="0"/>
        <w:spacing w:line="280" w:lineRule="exact"/>
        <w:ind w:left="1080"/>
        <w:jc w:val="both"/>
        <w:rPr>
          <w:b/>
          <w:sz w:val="22"/>
        </w:rPr>
      </w:pPr>
      <w:r w:rsidRPr="00052555">
        <w:rPr>
          <w:b/>
          <w:sz w:val="22"/>
        </w:rPr>
        <w:t>Rapporti verso parti correlate del Gruppo RCS e della Società cui fa capo</w:t>
      </w:r>
    </w:p>
    <w:p w:rsidR="00923BDC" w:rsidRPr="00ED5CD9" w:rsidRDefault="00923BDC" w:rsidP="00923BDC">
      <w:pPr>
        <w:pStyle w:val="Paragrafoelenco"/>
        <w:ind w:left="-142" w:firstLine="142"/>
        <w:rPr>
          <w:b/>
          <w:szCs w:val="22"/>
        </w:rPr>
      </w:pPr>
    </w:p>
    <w:p w:rsidR="00923BDC" w:rsidRPr="00052555" w:rsidRDefault="00923BDC" w:rsidP="00052555">
      <w:pPr>
        <w:rPr>
          <w:sz w:val="22"/>
          <w:szCs w:val="22"/>
        </w:rPr>
      </w:pPr>
      <w:r w:rsidRPr="00052555">
        <w:rPr>
          <w:sz w:val="22"/>
          <w:szCs w:val="22"/>
        </w:rPr>
        <w:t xml:space="preserve">Per il dettaglio dei rapporti con parti correlate del Gruppo e di RCS </w:t>
      </w:r>
      <w:proofErr w:type="spellStart"/>
      <w:r w:rsidRPr="00052555">
        <w:rPr>
          <w:sz w:val="22"/>
          <w:szCs w:val="22"/>
        </w:rPr>
        <w:t>MediaGroup</w:t>
      </w:r>
      <w:proofErr w:type="spellEnd"/>
      <w:r w:rsidRPr="00052555">
        <w:rPr>
          <w:sz w:val="22"/>
          <w:szCs w:val="22"/>
        </w:rPr>
        <w:t xml:space="preserve"> S.p.A. si rinvia alla nota numero 11 del Resoconto Intermedio di Gestione.</w:t>
      </w:r>
    </w:p>
    <w:p w:rsidR="00923BDC" w:rsidRPr="00052555" w:rsidRDefault="00923BDC" w:rsidP="00923BDC">
      <w:pPr>
        <w:pStyle w:val="Paragrafoelenco"/>
        <w:widowControl/>
        <w:numPr>
          <w:ilvl w:val="0"/>
          <w:numId w:val="12"/>
        </w:numPr>
        <w:suppressAutoHyphens w:val="0"/>
        <w:ind w:left="1080"/>
        <w:jc w:val="both"/>
        <w:rPr>
          <w:rStyle w:val="s6"/>
          <w:b/>
          <w:sz w:val="22"/>
          <w:szCs w:val="22"/>
        </w:rPr>
      </w:pPr>
      <w:r w:rsidRPr="00052555">
        <w:rPr>
          <w:rStyle w:val="s6"/>
          <w:b/>
          <w:sz w:val="22"/>
          <w:szCs w:val="22"/>
        </w:rPr>
        <w:lastRenderedPageBreak/>
        <w:t xml:space="preserve">L’eventuale mancato rispetto dei </w:t>
      </w:r>
      <w:proofErr w:type="spellStart"/>
      <w:r w:rsidRPr="00052555">
        <w:rPr>
          <w:rStyle w:val="s6"/>
          <w:b/>
          <w:sz w:val="22"/>
          <w:szCs w:val="22"/>
        </w:rPr>
        <w:t>covenant</w:t>
      </w:r>
      <w:proofErr w:type="spellEnd"/>
      <w:r w:rsidRPr="00052555">
        <w:rPr>
          <w:rStyle w:val="s6"/>
          <w:b/>
          <w:sz w:val="22"/>
          <w:szCs w:val="22"/>
        </w:rPr>
        <w:t xml:space="preserve">, dei negative </w:t>
      </w:r>
      <w:proofErr w:type="spellStart"/>
      <w:r w:rsidRPr="00052555">
        <w:rPr>
          <w:rStyle w:val="s6"/>
          <w:b/>
          <w:sz w:val="22"/>
          <w:szCs w:val="22"/>
        </w:rPr>
        <w:t>pledge</w:t>
      </w:r>
      <w:proofErr w:type="spellEnd"/>
      <w:r w:rsidRPr="00052555">
        <w:rPr>
          <w:rStyle w:val="s6"/>
          <w:b/>
          <w:sz w:val="22"/>
          <w:szCs w:val="22"/>
        </w:rPr>
        <w:t xml:space="preserve"> e di ogni altra clausola dell’indebitamento del Gruppo comportante limiti all’utilizzo delle risorse finanziarie, con l’indicazione a data aggiornata del grado di rispetto di dette clausole</w:t>
      </w:r>
    </w:p>
    <w:p w:rsidR="00923BDC" w:rsidRPr="00845BE8" w:rsidRDefault="00923BDC" w:rsidP="00923BDC">
      <w:pPr>
        <w:ind w:left="360"/>
        <w:rPr>
          <w:rStyle w:val="s6"/>
          <w:b/>
          <w:szCs w:val="22"/>
          <w:highlight w:val="yellow"/>
        </w:rPr>
      </w:pPr>
    </w:p>
    <w:p w:rsidR="00923BDC" w:rsidRPr="00052555" w:rsidRDefault="00923BDC" w:rsidP="00923BDC">
      <w:pPr>
        <w:rPr>
          <w:sz w:val="22"/>
          <w:szCs w:val="22"/>
        </w:rPr>
      </w:pPr>
      <w:r w:rsidRPr="00052555">
        <w:rPr>
          <w:sz w:val="22"/>
          <w:szCs w:val="22"/>
        </w:rPr>
        <w:t xml:space="preserve">Il Contratto di Finanziamento sottoscritto </w:t>
      </w:r>
      <w:proofErr w:type="gramStart"/>
      <w:r w:rsidRPr="00052555">
        <w:rPr>
          <w:sz w:val="22"/>
          <w:szCs w:val="22"/>
        </w:rPr>
        <w:t>nel  giugno</w:t>
      </w:r>
      <w:proofErr w:type="gramEnd"/>
      <w:r w:rsidRPr="00052555">
        <w:rPr>
          <w:sz w:val="22"/>
          <w:szCs w:val="22"/>
        </w:rPr>
        <w:t xml:space="preserve"> 2013 per un importo massimo complessivo di Euro 600 milioni si è ridotto al 31 marzo 2015 a Euro 465,6 milioni. </w:t>
      </w:r>
    </w:p>
    <w:p w:rsidR="00923BDC" w:rsidRPr="00052555" w:rsidRDefault="00923BDC" w:rsidP="00923BDC">
      <w:pPr>
        <w:rPr>
          <w:sz w:val="22"/>
          <w:szCs w:val="22"/>
        </w:rPr>
      </w:pPr>
    </w:p>
    <w:p w:rsidR="00923BDC" w:rsidRPr="00052555" w:rsidRDefault="00923BDC" w:rsidP="00923BDC">
      <w:pPr>
        <w:rPr>
          <w:sz w:val="22"/>
          <w:szCs w:val="22"/>
        </w:rPr>
      </w:pPr>
      <w:proofErr w:type="gramStart"/>
      <w:r w:rsidRPr="00052555">
        <w:rPr>
          <w:sz w:val="22"/>
          <w:szCs w:val="22"/>
        </w:rPr>
        <w:t>Il  Finanziamento</w:t>
      </w:r>
      <w:proofErr w:type="gramEnd"/>
      <w:r w:rsidRPr="00052555">
        <w:rPr>
          <w:sz w:val="22"/>
          <w:szCs w:val="22"/>
        </w:rPr>
        <w:t xml:space="preserve"> è composto da tre distinte linee di credito:</w:t>
      </w:r>
    </w:p>
    <w:p w:rsidR="00923BDC" w:rsidRPr="00052555" w:rsidRDefault="00923BDC" w:rsidP="00923BDC">
      <w:pPr>
        <w:rPr>
          <w:sz w:val="22"/>
          <w:szCs w:val="22"/>
        </w:rPr>
      </w:pPr>
    </w:p>
    <w:p w:rsidR="00923BDC" w:rsidRPr="00052555" w:rsidRDefault="00923BDC" w:rsidP="00923BDC">
      <w:pPr>
        <w:widowControl/>
        <w:numPr>
          <w:ilvl w:val="0"/>
          <w:numId w:val="25"/>
        </w:numPr>
        <w:suppressAutoHyphens w:val="0"/>
        <w:jc w:val="both"/>
        <w:rPr>
          <w:bCs/>
          <w:sz w:val="22"/>
          <w:szCs w:val="22"/>
        </w:rPr>
      </w:pPr>
      <w:r w:rsidRPr="00052555">
        <w:rPr>
          <w:bCs/>
          <w:sz w:val="22"/>
          <w:szCs w:val="22"/>
          <w:u w:val="single"/>
        </w:rPr>
        <w:t>Linea di Credito A (</w:t>
      </w:r>
      <w:proofErr w:type="spellStart"/>
      <w:r w:rsidRPr="00052555">
        <w:rPr>
          <w:bCs/>
          <w:i/>
          <w:sz w:val="22"/>
          <w:szCs w:val="22"/>
          <w:u w:val="single"/>
        </w:rPr>
        <w:t>bullet</w:t>
      </w:r>
      <w:proofErr w:type="spellEnd"/>
      <w:r w:rsidRPr="00052555">
        <w:rPr>
          <w:bCs/>
          <w:sz w:val="22"/>
          <w:szCs w:val="22"/>
          <w:u w:val="single"/>
        </w:rPr>
        <w:t>)</w:t>
      </w:r>
      <w:r w:rsidRPr="00052555">
        <w:rPr>
          <w:bCs/>
          <w:sz w:val="22"/>
          <w:szCs w:val="22"/>
        </w:rPr>
        <w:t xml:space="preserve">, linea </w:t>
      </w:r>
      <w:proofErr w:type="spellStart"/>
      <w:r w:rsidRPr="00052555">
        <w:rPr>
          <w:bCs/>
          <w:i/>
          <w:sz w:val="22"/>
          <w:szCs w:val="22"/>
        </w:rPr>
        <w:t>term</w:t>
      </w:r>
      <w:proofErr w:type="spellEnd"/>
      <w:r w:rsidRPr="00052555">
        <w:rPr>
          <w:bCs/>
          <w:sz w:val="22"/>
          <w:szCs w:val="22"/>
        </w:rPr>
        <w:t xml:space="preserve"> di Euro 225.000.000,00 da rimborsarsi in unica soluzione alla data precedente tra (i) il terzo anniversario della relativa data di utilizzo e (ii) il 31 luglio 2016 e il cui utilizzo al 31 marzo 2015 è rimasto invariato rispetto al 31 dicembre 2014 a 113,6 milioni.</w:t>
      </w:r>
      <w:r w:rsidRPr="00052555">
        <w:rPr>
          <w:sz w:val="22"/>
          <w:szCs w:val="22"/>
        </w:rPr>
        <w:t xml:space="preserve"> Si ricorda che tale linea è rimborsata in via anticipata con i proventi della vendita di </w:t>
      </w:r>
      <w:proofErr w:type="spellStart"/>
      <w:r w:rsidRPr="00052555">
        <w:rPr>
          <w:sz w:val="22"/>
          <w:szCs w:val="22"/>
        </w:rPr>
        <w:t>asset</w:t>
      </w:r>
      <w:proofErr w:type="spellEnd"/>
      <w:r w:rsidRPr="00052555">
        <w:rPr>
          <w:sz w:val="22"/>
          <w:szCs w:val="22"/>
        </w:rPr>
        <w:t xml:space="preserve"> no core;</w:t>
      </w:r>
    </w:p>
    <w:p w:rsidR="00923BDC" w:rsidRPr="00052555" w:rsidRDefault="00923BDC" w:rsidP="00923BDC">
      <w:pPr>
        <w:ind w:left="360"/>
        <w:rPr>
          <w:bCs/>
          <w:sz w:val="22"/>
          <w:szCs w:val="22"/>
        </w:rPr>
      </w:pPr>
    </w:p>
    <w:p w:rsidR="00923BDC" w:rsidRPr="00052555" w:rsidRDefault="00923BDC" w:rsidP="00923BDC">
      <w:pPr>
        <w:widowControl/>
        <w:numPr>
          <w:ilvl w:val="0"/>
          <w:numId w:val="25"/>
        </w:numPr>
        <w:suppressAutoHyphens w:val="0"/>
        <w:jc w:val="both"/>
        <w:rPr>
          <w:bCs/>
          <w:sz w:val="22"/>
          <w:szCs w:val="22"/>
        </w:rPr>
      </w:pPr>
      <w:r w:rsidRPr="00052555">
        <w:rPr>
          <w:bCs/>
          <w:sz w:val="22"/>
          <w:szCs w:val="22"/>
          <w:u w:val="single"/>
        </w:rPr>
        <w:t>Linea di Credito B (</w:t>
      </w:r>
      <w:proofErr w:type="spellStart"/>
      <w:r w:rsidRPr="00052555">
        <w:rPr>
          <w:bCs/>
          <w:i/>
          <w:sz w:val="22"/>
          <w:szCs w:val="22"/>
          <w:u w:val="single"/>
        </w:rPr>
        <w:t>amortizing</w:t>
      </w:r>
      <w:proofErr w:type="spellEnd"/>
      <w:r w:rsidRPr="00052555">
        <w:rPr>
          <w:bCs/>
          <w:sz w:val="22"/>
          <w:szCs w:val="22"/>
          <w:u w:val="single"/>
        </w:rPr>
        <w:t>)</w:t>
      </w:r>
      <w:r w:rsidRPr="00052555">
        <w:rPr>
          <w:bCs/>
          <w:sz w:val="22"/>
          <w:szCs w:val="22"/>
        </w:rPr>
        <w:t xml:space="preserve">, linea </w:t>
      </w:r>
      <w:proofErr w:type="spellStart"/>
      <w:r w:rsidRPr="00052555">
        <w:rPr>
          <w:bCs/>
          <w:i/>
          <w:sz w:val="22"/>
          <w:szCs w:val="22"/>
        </w:rPr>
        <w:t>term</w:t>
      </w:r>
      <w:proofErr w:type="spellEnd"/>
      <w:r w:rsidRPr="00052555">
        <w:rPr>
          <w:bCs/>
          <w:sz w:val="22"/>
          <w:szCs w:val="22"/>
        </w:rPr>
        <w:t xml:space="preserve"> di Euro 275.000.000 da rimborsarsi alla data precedente tra (i) il quinto anniversario della relativa data di utilizzo e (ii) il 31 luglio 2018, secondo un piano di ammortamento allegato al Contratto di Finanziamento e il cui utilizzo è invariato rispetto al 31 dicembre 2014 a 252 milioni</w:t>
      </w:r>
      <w:r w:rsidRPr="00052555">
        <w:rPr>
          <w:sz w:val="22"/>
          <w:szCs w:val="22"/>
        </w:rPr>
        <w:t>;</w:t>
      </w:r>
      <w:r w:rsidRPr="00052555">
        <w:rPr>
          <w:bCs/>
          <w:sz w:val="22"/>
          <w:szCs w:val="22"/>
        </w:rPr>
        <w:t xml:space="preserve"> e</w:t>
      </w:r>
    </w:p>
    <w:p w:rsidR="00923BDC" w:rsidRPr="00052555" w:rsidRDefault="00923BDC" w:rsidP="00923BDC">
      <w:pPr>
        <w:rPr>
          <w:bCs/>
          <w:sz w:val="22"/>
          <w:szCs w:val="22"/>
        </w:rPr>
      </w:pPr>
    </w:p>
    <w:p w:rsidR="00923BDC" w:rsidRPr="00052555" w:rsidRDefault="00923BDC" w:rsidP="00923BDC">
      <w:pPr>
        <w:widowControl/>
        <w:numPr>
          <w:ilvl w:val="0"/>
          <w:numId w:val="25"/>
        </w:numPr>
        <w:suppressAutoHyphens w:val="0"/>
        <w:jc w:val="both"/>
        <w:rPr>
          <w:sz w:val="22"/>
          <w:szCs w:val="22"/>
        </w:rPr>
      </w:pPr>
      <w:r w:rsidRPr="00052555">
        <w:rPr>
          <w:bCs/>
          <w:sz w:val="22"/>
          <w:szCs w:val="22"/>
          <w:u w:val="single"/>
        </w:rPr>
        <w:t>Linea di Credito Revolving (</w:t>
      </w:r>
      <w:r w:rsidRPr="00052555">
        <w:rPr>
          <w:bCs/>
          <w:i/>
          <w:sz w:val="22"/>
          <w:szCs w:val="22"/>
          <w:u w:val="single"/>
        </w:rPr>
        <w:t>revolving</w:t>
      </w:r>
      <w:r w:rsidRPr="00052555">
        <w:rPr>
          <w:bCs/>
          <w:sz w:val="22"/>
          <w:szCs w:val="22"/>
          <w:u w:val="single"/>
        </w:rPr>
        <w:t>)</w:t>
      </w:r>
      <w:r w:rsidRPr="00052555">
        <w:rPr>
          <w:bCs/>
          <w:sz w:val="22"/>
          <w:szCs w:val="22"/>
        </w:rPr>
        <w:t xml:space="preserve">, </w:t>
      </w:r>
      <w:r w:rsidRPr="00052555">
        <w:rPr>
          <w:sz w:val="22"/>
          <w:szCs w:val="22"/>
        </w:rPr>
        <w:t xml:space="preserve">linea </w:t>
      </w:r>
      <w:r w:rsidRPr="00052555">
        <w:rPr>
          <w:i/>
          <w:sz w:val="22"/>
          <w:szCs w:val="22"/>
        </w:rPr>
        <w:t>revolving</w:t>
      </w:r>
      <w:r w:rsidRPr="00052555">
        <w:rPr>
          <w:sz w:val="22"/>
          <w:szCs w:val="22"/>
        </w:rPr>
        <w:t xml:space="preserve"> di Euro 100.000.000 da rimborsarsi </w:t>
      </w:r>
      <w:r w:rsidRPr="00052555">
        <w:rPr>
          <w:bCs/>
          <w:sz w:val="22"/>
          <w:szCs w:val="22"/>
        </w:rPr>
        <w:t>alla data precedente tra (i) il quinto anniversario della relativa prima data di utilizzo e (ii) il 31 luglio 2018</w:t>
      </w:r>
      <w:r w:rsidRPr="00052555">
        <w:rPr>
          <w:sz w:val="22"/>
          <w:szCs w:val="22"/>
        </w:rPr>
        <w:t xml:space="preserve">. </w:t>
      </w:r>
    </w:p>
    <w:p w:rsidR="00923BDC" w:rsidRPr="00052555" w:rsidRDefault="00923BDC" w:rsidP="00923BDC">
      <w:pPr>
        <w:spacing w:before="120" w:after="120"/>
        <w:rPr>
          <w:sz w:val="22"/>
          <w:szCs w:val="22"/>
        </w:rPr>
      </w:pPr>
    </w:p>
    <w:p w:rsidR="00923BDC" w:rsidRPr="00052555" w:rsidRDefault="00923BDC" w:rsidP="00923BDC">
      <w:pPr>
        <w:spacing w:before="120" w:after="120"/>
        <w:rPr>
          <w:sz w:val="22"/>
          <w:szCs w:val="22"/>
        </w:rPr>
      </w:pPr>
      <w:r w:rsidRPr="00052555">
        <w:rPr>
          <w:sz w:val="22"/>
          <w:szCs w:val="22"/>
        </w:rPr>
        <w:t xml:space="preserve">Il Contratto di Finanziamento prevede un </w:t>
      </w:r>
      <w:proofErr w:type="spellStart"/>
      <w:r w:rsidRPr="00052555">
        <w:rPr>
          <w:sz w:val="22"/>
          <w:szCs w:val="22"/>
        </w:rPr>
        <w:t>Covenant</w:t>
      </w:r>
      <w:proofErr w:type="spellEnd"/>
      <w:r w:rsidRPr="00052555">
        <w:rPr>
          <w:sz w:val="22"/>
          <w:szCs w:val="22"/>
        </w:rPr>
        <w:t xml:space="preserve"> di default di PFN non superiore a 440 milioni alla fine del 2015. Il </w:t>
      </w:r>
      <w:proofErr w:type="spellStart"/>
      <w:r w:rsidRPr="00052555">
        <w:rPr>
          <w:sz w:val="22"/>
          <w:szCs w:val="22"/>
        </w:rPr>
        <w:t>Covenant</w:t>
      </w:r>
      <w:proofErr w:type="spellEnd"/>
      <w:r w:rsidRPr="00052555">
        <w:rPr>
          <w:sz w:val="22"/>
          <w:szCs w:val="22"/>
        </w:rPr>
        <w:t xml:space="preserve"> era stato individuato sulla base delle previsioni del Piano per lo sviluppo 2013-2015 e delle prevedibili vendite di </w:t>
      </w:r>
      <w:proofErr w:type="spellStart"/>
      <w:r w:rsidRPr="00052555">
        <w:rPr>
          <w:i/>
          <w:sz w:val="22"/>
          <w:szCs w:val="22"/>
        </w:rPr>
        <w:t>Assets</w:t>
      </w:r>
      <w:proofErr w:type="spellEnd"/>
      <w:r w:rsidRPr="00052555">
        <w:rPr>
          <w:i/>
          <w:sz w:val="22"/>
          <w:szCs w:val="22"/>
        </w:rPr>
        <w:t xml:space="preserve"> No Core</w:t>
      </w:r>
      <w:r w:rsidRPr="00052555">
        <w:rPr>
          <w:sz w:val="22"/>
          <w:szCs w:val="22"/>
        </w:rPr>
        <w:t xml:space="preserve"> per un importo non inferiore a 250 milioni entro la fine dell’anno. </w:t>
      </w:r>
      <w:r w:rsidRPr="00052555">
        <w:rPr>
          <w:sz w:val="22"/>
          <w:szCs w:val="22"/>
          <w:lang w:eastAsia="en-US"/>
        </w:rPr>
        <w:t xml:space="preserve">In </w:t>
      </w:r>
      <w:proofErr w:type="gramStart"/>
      <w:r w:rsidRPr="00052555">
        <w:rPr>
          <w:sz w:val="22"/>
          <w:szCs w:val="22"/>
          <w:lang w:eastAsia="en-US"/>
        </w:rPr>
        <w:t>data  11</w:t>
      </w:r>
      <w:proofErr w:type="gramEnd"/>
      <w:r w:rsidRPr="00052555">
        <w:rPr>
          <w:sz w:val="22"/>
          <w:szCs w:val="22"/>
          <w:lang w:eastAsia="en-US"/>
        </w:rPr>
        <w:t xml:space="preserve"> agosto 2014 la Società ha</w:t>
      </w:r>
      <w:r w:rsidRPr="00052555">
        <w:rPr>
          <w:sz w:val="22"/>
          <w:szCs w:val="22"/>
        </w:rPr>
        <w:t xml:space="preserve"> sottoscritto con le banche finanziatrici un accordo modificativo di taluni termini e condizioni dello stesso Contratto di Finanziamento.</w:t>
      </w:r>
    </w:p>
    <w:p w:rsidR="00923BDC" w:rsidRPr="00052555" w:rsidRDefault="00923BDC" w:rsidP="00923BDC">
      <w:pPr>
        <w:pStyle w:val="s5"/>
        <w:spacing w:before="0" w:beforeAutospacing="0" w:after="0" w:afterAutospacing="0"/>
        <w:jc w:val="both"/>
        <w:rPr>
          <w:rFonts w:ascii="Times New Roman" w:hAnsi="Times New Roman" w:cs="Times New Roman"/>
          <w:sz w:val="20"/>
        </w:rPr>
      </w:pPr>
    </w:p>
    <w:p w:rsidR="00923BDC" w:rsidRPr="00052555" w:rsidRDefault="00923BDC" w:rsidP="00923BDC">
      <w:pPr>
        <w:rPr>
          <w:sz w:val="22"/>
          <w:szCs w:val="22"/>
        </w:rPr>
      </w:pPr>
      <w:r w:rsidRPr="00052555">
        <w:rPr>
          <w:sz w:val="22"/>
          <w:szCs w:val="22"/>
        </w:rPr>
        <w:t xml:space="preserve">In particolare il contratto di Finanziamento prevede il rispetto dei seguenti </w:t>
      </w:r>
      <w:proofErr w:type="spellStart"/>
      <w:r w:rsidRPr="00052555">
        <w:rPr>
          <w:sz w:val="22"/>
          <w:szCs w:val="22"/>
        </w:rPr>
        <w:t>covenant</w:t>
      </w:r>
      <w:proofErr w:type="spellEnd"/>
      <w:r w:rsidRPr="00052555">
        <w:rPr>
          <w:sz w:val="22"/>
          <w:szCs w:val="22"/>
        </w:rPr>
        <w:t xml:space="preserve"> finanziari, che la Società ritiene coerenti con le previsioni economico finanziarie contenute nel Piano per lo Sviluppo: </w:t>
      </w:r>
    </w:p>
    <w:p w:rsidR="00923BDC" w:rsidRPr="002B0027" w:rsidRDefault="00923BDC" w:rsidP="00923BDC">
      <w:pPr>
        <w:rPr>
          <w:szCs w:val="22"/>
        </w:rPr>
      </w:pPr>
    </w:p>
    <w:tbl>
      <w:tblPr>
        <w:tblW w:w="0" w:type="auto"/>
        <w:tblCellMar>
          <w:left w:w="0" w:type="dxa"/>
          <w:right w:w="0" w:type="dxa"/>
        </w:tblCellMar>
        <w:tblLook w:val="04A0" w:firstRow="1" w:lastRow="0" w:firstColumn="1" w:lastColumn="0" w:noHBand="0" w:noVBand="1"/>
      </w:tblPr>
      <w:tblGrid>
        <w:gridCol w:w="2802"/>
        <w:gridCol w:w="6976"/>
      </w:tblGrid>
      <w:tr w:rsidR="00923BDC" w:rsidRPr="002B0027" w:rsidTr="00923BDC">
        <w:tc>
          <w:tcPr>
            <w:tcW w:w="2802" w:type="dxa"/>
            <w:tcMar>
              <w:top w:w="0" w:type="dxa"/>
              <w:left w:w="108" w:type="dxa"/>
              <w:bottom w:w="0" w:type="dxa"/>
              <w:right w:w="108" w:type="dxa"/>
            </w:tcMar>
            <w:hideMark/>
          </w:tcPr>
          <w:p w:rsidR="00923BDC" w:rsidRPr="00F20F41" w:rsidRDefault="00923BDC" w:rsidP="00923BDC">
            <w:pPr>
              <w:spacing w:before="40" w:after="40"/>
              <w:rPr>
                <w:b/>
                <w:bCs/>
                <w:szCs w:val="22"/>
              </w:rPr>
            </w:pPr>
            <w:r w:rsidRPr="00F20F41">
              <w:rPr>
                <w:b/>
                <w:bCs/>
                <w:szCs w:val="22"/>
              </w:rPr>
              <w:t>Data di Riferimento</w:t>
            </w:r>
          </w:p>
        </w:tc>
        <w:tc>
          <w:tcPr>
            <w:tcW w:w="6976" w:type="dxa"/>
            <w:tcMar>
              <w:top w:w="0" w:type="dxa"/>
              <w:left w:w="108" w:type="dxa"/>
              <w:bottom w:w="0" w:type="dxa"/>
              <w:right w:w="108" w:type="dxa"/>
            </w:tcMar>
            <w:hideMark/>
          </w:tcPr>
          <w:p w:rsidR="00923BDC" w:rsidRPr="00056820" w:rsidRDefault="00923BDC" w:rsidP="00923BDC">
            <w:pPr>
              <w:spacing w:before="40" w:after="40"/>
              <w:rPr>
                <w:b/>
                <w:bCs/>
                <w:szCs w:val="22"/>
              </w:rPr>
            </w:pPr>
            <w:proofErr w:type="spellStart"/>
            <w:r w:rsidRPr="00056820">
              <w:rPr>
                <w:b/>
                <w:bCs/>
                <w:i/>
                <w:iCs/>
                <w:szCs w:val="22"/>
              </w:rPr>
              <w:t>Covenant</w:t>
            </w:r>
            <w:proofErr w:type="spellEnd"/>
            <w:r w:rsidRPr="00056820">
              <w:rPr>
                <w:b/>
                <w:bCs/>
                <w:szCs w:val="22"/>
              </w:rPr>
              <w:t xml:space="preserve"> Finanziario</w:t>
            </w:r>
            <w:r>
              <w:rPr>
                <w:b/>
                <w:bCs/>
                <w:szCs w:val="22"/>
              </w:rPr>
              <w:t xml:space="preserve"> </w:t>
            </w:r>
            <w:r>
              <w:rPr>
                <w:szCs w:val="22"/>
              </w:rPr>
              <w:t>(a livello di bilancio consolidato di Gruppo)</w:t>
            </w:r>
          </w:p>
        </w:tc>
      </w:tr>
      <w:tr w:rsidR="00923BDC" w:rsidRPr="002B0027" w:rsidTr="00923BDC">
        <w:tc>
          <w:tcPr>
            <w:tcW w:w="2802" w:type="dxa"/>
            <w:tcMar>
              <w:top w:w="0" w:type="dxa"/>
              <w:left w:w="108" w:type="dxa"/>
              <w:bottom w:w="0" w:type="dxa"/>
              <w:right w:w="108" w:type="dxa"/>
            </w:tcMar>
          </w:tcPr>
          <w:p w:rsidR="00923BDC" w:rsidRPr="002B0027" w:rsidRDefault="00923BDC" w:rsidP="00923BDC">
            <w:pPr>
              <w:spacing w:before="40" w:after="40"/>
              <w:rPr>
                <w:szCs w:val="22"/>
              </w:rPr>
            </w:pPr>
          </w:p>
        </w:tc>
        <w:tc>
          <w:tcPr>
            <w:tcW w:w="6976" w:type="dxa"/>
            <w:tcMar>
              <w:top w:w="0" w:type="dxa"/>
              <w:left w:w="108" w:type="dxa"/>
              <w:bottom w:w="0" w:type="dxa"/>
              <w:right w:w="108" w:type="dxa"/>
            </w:tcMar>
          </w:tcPr>
          <w:p w:rsidR="00923BDC" w:rsidRPr="00C1069D" w:rsidRDefault="00923BDC" w:rsidP="00923BDC">
            <w:pPr>
              <w:spacing w:before="40" w:after="40"/>
              <w:rPr>
                <w:szCs w:val="22"/>
              </w:rPr>
            </w:pPr>
          </w:p>
        </w:tc>
      </w:tr>
      <w:tr w:rsidR="00923BDC" w:rsidRPr="00052555" w:rsidTr="00923BDC">
        <w:tc>
          <w:tcPr>
            <w:tcW w:w="2802" w:type="dxa"/>
            <w:tcMar>
              <w:top w:w="0" w:type="dxa"/>
              <w:left w:w="108" w:type="dxa"/>
              <w:bottom w:w="0" w:type="dxa"/>
              <w:right w:w="108" w:type="dxa"/>
            </w:tcMar>
            <w:hideMark/>
          </w:tcPr>
          <w:p w:rsidR="00923BDC" w:rsidRPr="00052555" w:rsidRDefault="00923BDC" w:rsidP="00923BDC">
            <w:pPr>
              <w:spacing w:before="40" w:after="40"/>
              <w:rPr>
                <w:sz w:val="22"/>
                <w:szCs w:val="22"/>
              </w:rPr>
            </w:pPr>
            <w:r w:rsidRPr="00052555">
              <w:rPr>
                <w:sz w:val="22"/>
                <w:szCs w:val="22"/>
              </w:rPr>
              <w:t>31 dicembre 2015</w:t>
            </w:r>
          </w:p>
        </w:tc>
        <w:tc>
          <w:tcPr>
            <w:tcW w:w="6976" w:type="dxa"/>
            <w:tcMar>
              <w:top w:w="0" w:type="dxa"/>
              <w:left w:w="108" w:type="dxa"/>
              <w:bottom w:w="0" w:type="dxa"/>
              <w:right w:w="108" w:type="dxa"/>
            </w:tcMar>
            <w:hideMark/>
          </w:tcPr>
          <w:p w:rsidR="00923BDC" w:rsidRPr="00052555" w:rsidRDefault="00923BDC" w:rsidP="00923BDC">
            <w:pPr>
              <w:spacing w:before="40" w:after="40"/>
              <w:ind w:left="459" w:hanging="459"/>
              <w:rPr>
                <w:sz w:val="22"/>
                <w:szCs w:val="22"/>
              </w:rPr>
            </w:pPr>
            <w:r w:rsidRPr="00052555">
              <w:rPr>
                <w:sz w:val="22"/>
                <w:szCs w:val="22"/>
              </w:rPr>
              <w:t>(i)   Posizione Finanziaria Netta &lt; uguale a Euro 440 milioni;</w:t>
            </w:r>
          </w:p>
          <w:p w:rsidR="00923BDC" w:rsidRPr="00052555" w:rsidRDefault="00923BDC" w:rsidP="00923BDC">
            <w:pPr>
              <w:spacing w:before="40" w:after="40"/>
              <w:ind w:left="459" w:hanging="459"/>
              <w:rPr>
                <w:sz w:val="22"/>
                <w:szCs w:val="22"/>
              </w:rPr>
            </w:pPr>
            <w:r w:rsidRPr="00052555">
              <w:rPr>
                <w:sz w:val="22"/>
                <w:szCs w:val="22"/>
              </w:rPr>
              <w:t>(ii) Rapporto Posizione Finanziaria Netta / EBITDA (</w:t>
            </w:r>
            <w:proofErr w:type="spellStart"/>
            <w:r w:rsidRPr="00052555">
              <w:rPr>
                <w:i/>
                <w:iCs/>
                <w:sz w:val="22"/>
                <w:szCs w:val="22"/>
              </w:rPr>
              <w:t>Leverage</w:t>
            </w:r>
            <w:proofErr w:type="spellEnd"/>
            <w:r w:rsidRPr="00052555">
              <w:rPr>
                <w:i/>
                <w:iCs/>
                <w:sz w:val="22"/>
                <w:szCs w:val="22"/>
              </w:rPr>
              <w:t xml:space="preserve"> Ratio</w:t>
            </w:r>
            <w:proofErr w:type="gramStart"/>
            <w:r w:rsidRPr="00052555">
              <w:rPr>
                <w:sz w:val="22"/>
                <w:szCs w:val="22"/>
              </w:rPr>
              <w:t>),  inferiore</w:t>
            </w:r>
            <w:proofErr w:type="gramEnd"/>
            <w:r w:rsidRPr="00052555">
              <w:rPr>
                <w:sz w:val="22"/>
                <w:szCs w:val="22"/>
              </w:rPr>
              <w:t xml:space="preserve"> a 3,50x.</w:t>
            </w:r>
          </w:p>
        </w:tc>
      </w:tr>
      <w:tr w:rsidR="00923BDC" w:rsidRPr="00052555" w:rsidTr="00923BDC">
        <w:tc>
          <w:tcPr>
            <w:tcW w:w="2802" w:type="dxa"/>
            <w:tcMar>
              <w:top w:w="0" w:type="dxa"/>
              <w:left w:w="108" w:type="dxa"/>
              <w:bottom w:w="0" w:type="dxa"/>
              <w:right w:w="108" w:type="dxa"/>
            </w:tcMar>
            <w:hideMark/>
          </w:tcPr>
          <w:p w:rsidR="00923BDC" w:rsidRPr="00052555" w:rsidRDefault="00923BDC" w:rsidP="00923BDC">
            <w:pPr>
              <w:spacing w:before="40" w:after="40"/>
              <w:rPr>
                <w:sz w:val="22"/>
                <w:szCs w:val="22"/>
              </w:rPr>
            </w:pPr>
            <w:r w:rsidRPr="00052555">
              <w:rPr>
                <w:sz w:val="22"/>
                <w:szCs w:val="22"/>
              </w:rPr>
              <w:t>31 dicembre 2016</w:t>
            </w:r>
          </w:p>
        </w:tc>
        <w:tc>
          <w:tcPr>
            <w:tcW w:w="6976" w:type="dxa"/>
            <w:tcMar>
              <w:top w:w="0" w:type="dxa"/>
              <w:left w:w="108" w:type="dxa"/>
              <w:bottom w:w="0" w:type="dxa"/>
              <w:right w:w="108" w:type="dxa"/>
            </w:tcMar>
            <w:hideMark/>
          </w:tcPr>
          <w:p w:rsidR="00923BDC" w:rsidRPr="00052555" w:rsidRDefault="00923BDC" w:rsidP="00923BDC">
            <w:pPr>
              <w:spacing w:before="40" w:after="40"/>
              <w:ind w:left="459" w:hanging="459"/>
              <w:rPr>
                <w:sz w:val="22"/>
                <w:szCs w:val="22"/>
              </w:rPr>
            </w:pPr>
            <w:r w:rsidRPr="00052555">
              <w:rPr>
                <w:sz w:val="22"/>
                <w:szCs w:val="22"/>
              </w:rPr>
              <w:t>(i)   Posizione Finanziaria Netta &lt; uguale a Euro 410 milioni;</w:t>
            </w:r>
          </w:p>
          <w:p w:rsidR="00923BDC" w:rsidRPr="00052555" w:rsidRDefault="00923BDC" w:rsidP="00923BDC">
            <w:pPr>
              <w:spacing w:before="40" w:after="40"/>
              <w:ind w:left="459" w:hanging="459"/>
              <w:rPr>
                <w:sz w:val="22"/>
                <w:szCs w:val="22"/>
              </w:rPr>
            </w:pPr>
            <w:r w:rsidRPr="00052555">
              <w:rPr>
                <w:sz w:val="22"/>
                <w:szCs w:val="22"/>
              </w:rPr>
              <w:t>(ii) Rapporto Posizione Finanziaria Netta / EBITDA (</w:t>
            </w:r>
            <w:proofErr w:type="spellStart"/>
            <w:r w:rsidRPr="00052555">
              <w:rPr>
                <w:i/>
                <w:iCs/>
                <w:sz w:val="22"/>
                <w:szCs w:val="22"/>
              </w:rPr>
              <w:t>Leverage</w:t>
            </w:r>
            <w:proofErr w:type="spellEnd"/>
            <w:r w:rsidRPr="00052555">
              <w:rPr>
                <w:i/>
                <w:iCs/>
                <w:sz w:val="22"/>
                <w:szCs w:val="22"/>
              </w:rPr>
              <w:t xml:space="preserve"> Ratio</w:t>
            </w:r>
            <w:proofErr w:type="gramStart"/>
            <w:r w:rsidRPr="00052555">
              <w:rPr>
                <w:sz w:val="22"/>
                <w:szCs w:val="22"/>
              </w:rPr>
              <w:t>),  inferiore</w:t>
            </w:r>
            <w:proofErr w:type="gramEnd"/>
            <w:r w:rsidRPr="00052555">
              <w:rPr>
                <w:sz w:val="22"/>
                <w:szCs w:val="22"/>
              </w:rPr>
              <w:t xml:space="preserve"> a 3,25x.</w:t>
            </w:r>
          </w:p>
        </w:tc>
      </w:tr>
      <w:tr w:rsidR="00923BDC" w:rsidRPr="00052555" w:rsidTr="00923BDC">
        <w:tc>
          <w:tcPr>
            <w:tcW w:w="2802" w:type="dxa"/>
            <w:tcMar>
              <w:top w:w="0" w:type="dxa"/>
              <w:left w:w="108" w:type="dxa"/>
              <w:bottom w:w="0" w:type="dxa"/>
              <w:right w:w="108" w:type="dxa"/>
            </w:tcMar>
            <w:hideMark/>
          </w:tcPr>
          <w:p w:rsidR="00923BDC" w:rsidRPr="00052555" w:rsidRDefault="00923BDC" w:rsidP="00923BDC">
            <w:pPr>
              <w:spacing w:before="40" w:after="40"/>
              <w:rPr>
                <w:sz w:val="22"/>
                <w:szCs w:val="22"/>
              </w:rPr>
            </w:pPr>
            <w:r w:rsidRPr="00052555">
              <w:rPr>
                <w:sz w:val="22"/>
                <w:szCs w:val="22"/>
              </w:rPr>
              <w:t>31 dicembre 2017</w:t>
            </w:r>
          </w:p>
        </w:tc>
        <w:tc>
          <w:tcPr>
            <w:tcW w:w="6976" w:type="dxa"/>
            <w:tcMar>
              <w:top w:w="0" w:type="dxa"/>
              <w:left w:w="108" w:type="dxa"/>
              <w:bottom w:w="0" w:type="dxa"/>
              <w:right w:w="108" w:type="dxa"/>
            </w:tcMar>
            <w:hideMark/>
          </w:tcPr>
          <w:p w:rsidR="00923BDC" w:rsidRPr="00052555" w:rsidRDefault="00923BDC" w:rsidP="00923BDC">
            <w:pPr>
              <w:spacing w:before="40" w:after="40"/>
              <w:ind w:left="459" w:hanging="459"/>
              <w:rPr>
                <w:sz w:val="22"/>
                <w:szCs w:val="22"/>
              </w:rPr>
            </w:pPr>
            <w:r w:rsidRPr="00052555">
              <w:rPr>
                <w:sz w:val="22"/>
                <w:szCs w:val="22"/>
              </w:rPr>
              <w:t xml:space="preserve">(i)   Posizione Finanziaria Netta &lt; uguale a Euro 380 milioni; </w:t>
            </w:r>
          </w:p>
          <w:p w:rsidR="00923BDC" w:rsidRPr="00052555" w:rsidRDefault="00923BDC" w:rsidP="00923BDC">
            <w:pPr>
              <w:spacing w:before="40" w:after="40"/>
              <w:ind w:left="459" w:hanging="459"/>
              <w:rPr>
                <w:sz w:val="22"/>
                <w:szCs w:val="22"/>
              </w:rPr>
            </w:pPr>
            <w:r w:rsidRPr="00052555">
              <w:rPr>
                <w:sz w:val="22"/>
                <w:szCs w:val="22"/>
              </w:rPr>
              <w:t>(ii) Rapporto Posizione Finanziaria Netta / EBITDA (</w:t>
            </w:r>
            <w:proofErr w:type="spellStart"/>
            <w:r w:rsidRPr="00052555">
              <w:rPr>
                <w:i/>
                <w:iCs/>
                <w:sz w:val="22"/>
                <w:szCs w:val="22"/>
              </w:rPr>
              <w:t>Leverage</w:t>
            </w:r>
            <w:proofErr w:type="spellEnd"/>
            <w:r w:rsidRPr="00052555">
              <w:rPr>
                <w:i/>
                <w:iCs/>
                <w:sz w:val="22"/>
                <w:szCs w:val="22"/>
              </w:rPr>
              <w:t xml:space="preserve"> Ratio</w:t>
            </w:r>
            <w:proofErr w:type="gramStart"/>
            <w:r w:rsidRPr="00052555">
              <w:rPr>
                <w:sz w:val="22"/>
                <w:szCs w:val="22"/>
              </w:rPr>
              <w:t>),  inferiore</w:t>
            </w:r>
            <w:proofErr w:type="gramEnd"/>
            <w:r w:rsidRPr="00052555">
              <w:rPr>
                <w:sz w:val="22"/>
                <w:szCs w:val="22"/>
              </w:rPr>
              <w:t xml:space="preserve"> a 3,00x.</w:t>
            </w:r>
          </w:p>
        </w:tc>
      </w:tr>
    </w:tbl>
    <w:p w:rsidR="00052555" w:rsidRDefault="00923BDC" w:rsidP="00923BDC">
      <w:pPr>
        <w:rPr>
          <w:sz w:val="22"/>
          <w:szCs w:val="22"/>
        </w:rPr>
      </w:pPr>
      <w:r w:rsidRPr="00052555">
        <w:rPr>
          <w:sz w:val="22"/>
          <w:szCs w:val="22"/>
        </w:rPr>
        <w:t xml:space="preserve">In caso di violazione dei </w:t>
      </w:r>
      <w:proofErr w:type="spellStart"/>
      <w:r w:rsidRPr="00052555">
        <w:rPr>
          <w:i/>
          <w:iCs/>
          <w:sz w:val="22"/>
          <w:szCs w:val="22"/>
        </w:rPr>
        <w:t>covenant</w:t>
      </w:r>
      <w:proofErr w:type="spellEnd"/>
      <w:r w:rsidRPr="00052555">
        <w:rPr>
          <w:i/>
          <w:iCs/>
          <w:sz w:val="22"/>
          <w:szCs w:val="22"/>
        </w:rPr>
        <w:t xml:space="preserve"> </w:t>
      </w:r>
      <w:r w:rsidRPr="00052555">
        <w:rPr>
          <w:sz w:val="22"/>
          <w:szCs w:val="22"/>
        </w:rPr>
        <w:t xml:space="preserve">finanziari applicabili, ovvero al verificarsi di ulteriori eventi qualificati quali, tra gli altri, il mancato pagamento di importi dovuti ai sensi del Contratto di Finanziamento, il </w:t>
      </w:r>
      <w:r w:rsidRPr="00052555">
        <w:rPr>
          <w:i/>
          <w:iCs/>
          <w:sz w:val="22"/>
          <w:szCs w:val="22"/>
        </w:rPr>
        <w:t>cross default</w:t>
      </w:r>
      <w:r w:rsidRPr="00052555">
        <w:rPr>
          <w:sz w:val="22"/>
          <w:szCs w:val="22"/>
        </w:rPr>
        <w:t xml:space="preserve"> in relazione all’indebitamento finanziario del Gruppo o l’avvio di procedure esecutive da parte dei creditori, per importi superiori a determinate soglie, la violazione degli obblighi assunti ai sensi del Contratto di Finanziamento, il cambio di controllo o il verificarsi di eventi che comportino un effetto negativo rilevante come ivi definiti, gli istituti finanziatori hanno il diritto di richiedere il rimborso delle linee di credito erogate ai sensi del Contratto di Finanziamento. Circa il Cambio di Controllo la disdetta del Patto di Sindacato </w:t>
      </w:r>
      <w:proofErr w:type="gramStart"/>
      <w:r w:rsidRPr="00052555">
        <w:rPr>
          <w:sz w:val="22"/>
          <w:szCs w:val="22"/>
        </w:rPr>
        <w:t>avvenuta  lo</w:t>
      </w:r>
      <w:proofErr w:type="gramEnd"/>
      <w:r w:rsidRPr="00052555">
        <w:rPr>
          <w:sz w:val="22"/>
          <w:szCs w:val="22"/>
        </w:rPr>
        <w:t xml:space="preserve"> scorso ottobre non ha costituito fattispecie di cambio di controllo così come disciplinato dal contratto di finanziamento.</w:t>
      </w:r>
    </w:p>
    <w:p w:rsidR="00923BDC" w:rsidRPr="00052555" w:rsidRDefault="00923BDC" w:rsidP="00923BDC">
      <w:pPr>
        <w:rPr>
          <w:sz w:val="22"/>
          <w:szCs w:val="22"/>
        </w:rPr>
      </w:pPr>
      <w:r w:rsidRPr="00052555">
        <w:rPr>
          <w:sz w:val="22"/>
          <w:szCs w:val="22"/>
        </w:rPr>
        <w:lastRenderedPageBreak/>
        <w:t xml:space="preserve">L’accordo modificativo sottoscritto in data 11 agosto 2014, ha modificato taluni termini e condizioni del contratto di finanziamento. Al fine di conseguire una maggiore flessibilità in merito alle tempistiche per le cessioni degli </w:t>
      </w:r>
      <w:proofErr w:type="spellStart"/>
      <w:r w:rsidRPr="00052555">
        <w:rPr>
          <w:i/>
          <w:sz w:val="22"/>
          <w:szCs w:val="22"/>
        </w:rPr>
        <w:t>Assets</w:t>
      </w:r>
      <w:proofErr w:type="spellEnd"/>
      <w:r w:rsidRPr="00052555">
        <w:rPr>
          <w:sz w:val="22"/>
          <w:szCs w:val="22"/>
        </w:rPr>
        <w:t xml:space="preserve"> </w:t>
      </w:r>
      <w:r w:rsidRPr="00052555">
        <w:rPr>
          <w:i/>
          <w:sz w:val="22"/>
          <w:szCs w:val="22"/>
        </w:rPr>
        <w:t xml:space="preserve">No Core, </w:t>
      </w:r>
      <w:r w:rsidRPr="00052555">
        <w:rPr>
          <w:sz w:val="22"/>
          <w:szCs w:val="22"/>
        </w:rPr>
        <w:t>ha variato le scadenze, da fine 2014 a fine settembre 2015, dei seguenti obblighi:</w:t>
      </w:r>
    </w:p>
    <w:p w:rsidR="00923BDC" w:rsidRPr="00052555" w:rsidRDefault="00923BDC" w:rsidP="00923BDC">
      <w:pPr>
        <w:widowControl/>
        <w:numPr>
          <w:ilvl w:val="0"/>
          <w:numId w:val="24"/>
        </w:numPr>
        <w:suppressAutoHyphens w:val="0"/>
        <w:ind w:left="705" w:hanging="705"/>
        <w:jc w:val="both"/>
        <w:rPr>
          <w:bCs/>
          <w:sz w:val="22"/>
          <w:szCs w:val="22"/>
        </w:rPr>
      </w:pPr>
      <w:r w:rsidRPr="00052555">
        <w:rPr>
          <w:sz w:val="22"/>
          <w:szCs w:val="22"/>
        </w:rPr>
        <w:t xml:space="preserve">obbligo di esercitare - entro il 31 dicembre 2015 e comunque in tempo utile per consentire la sottoscrizione ed effettiva liberazione per cassa dell’aumento di capitale oggetto di Delega entro il 31 marzo 2016 -  la delega conferita in data 30 maggio 2013 al Consiglio di Amministrazione della Società ad aumentare, in via scindibile, il capitale sociale della Società fino ad un importo massimo di Euro 190.000.000,00 (la “Delega”), </w:t>
      </w:r>
      <w:r w:rsidRPr="00052555">
        <w:rPr>
          <w:sz w:val="22"/>
        </w:rPr>
        <w:t xml:space="preserve"> </w:t>
      </w:r>
      <w:r w:rsidRPr="00052555">
        <w:rPr>
          <w:sz w:val="22"/>
          <w:szCs w:val="22"/>
        </w:rPr>
        <w:t xml:space="preserve">importo pari alla differenza tra Euro 600.000.000,00 e </w:t>
      </w:r>
      <w:bookmarkStart w:id="5" w:name="_DV_X11"/>
      <w:bookmarkStart w:id="6" w:name="_DV_C7"/>
      <w:r w:rsidRPr="00052555">
        <w:rPr>
          <w:sz w:val="22"/>
          <w:szCs w:val="22"/>
        </w:rPr>
        <w:t xml:space="preserve">l’importo dell’aumento di capitale </w:t>
      </w:r>
      <w:bookmarkStart w:id="7" w:name="_DV_C8"/>
      <w:bookmarkEnd w:id="5"/>
      <w:bookmarkEnd w:id="6"/>
      <w:r w:rsidRPr="00052555">
        <w:rPr>
          <w:sz w:val="22"/>
          <w:szCs w:val="22"/>
        </w:rPr>
        <w:t>della Società</w:t>
      </w:r>
      <w:bookmarkStart w:id="8" w:name="_DV_X14"/>
      <w:bookmarkStart w:id="9" w:name="_DV_C9"/>
      <w:bookmarkEnd w:id="7"/>
      <w:r w:rsidRPr="00052555">
        <w:rPr>
          <w:sz w:val="22"/>
          <w:szCs w:val="22"/>
        </w:rPr>
        <w:t xml:space="preserve"> effettivamente sottoscritto</w:t>
      </w:r>
      <w:bookmarkStart w:id="10" w:name="_DV_C10"/>
      <w:bookmarkEnd w:id="8"/>
      <w:bookmarkEnd w:id="9"/>
      <w:r w:rsidRPr="00052555">
        <w:rPr>
          <w:sz w:val="22"/>
          <w:szCs w:val="22"/>
        </w:rPr>
        <w:t xml:space="preserve"> e liberato per cassa anteriormente alla prima erogazione di cui al Contratto di Finanziamento</w:t>
      </w:r>
      <w:bookmarkEnd w:id="10"/>
      <w:r w:rsidRPr="00052555">
        <w:rPr>
          <w:sz w:val="22"/>
          <w:szCs w:val="22"/>
        </w:rPr>
        <w:t>, qualora si verifichi uno dei seguenti eventi</w:t>
      </w:r>
      <w:r w:rsidRPr="00052555">
        <w:rPr>
          <w:bCs/>
          <w:sz w:val="22"/>
          <w:szCs w:val="22"/>
        </w:rPr>
        <w:t xml:space="preserve"> (i cd. </w:t>
      </w:r>
      <w:proofErr w:type="spellStart"/>
      <w:r w:rsidRPr="00052555">
        <w:rPr>
          <w:bCs/>
          <w:i/>
          <w:sz w:val="22"/>
          <w:szCs w:val="22"/>
        </w:rPr>
        <w:t>Triggering</w:t>
      </w:r>
      <w:proofErr w:type="spellEnd"/>
      <w:r w:rsidRPr="00052555">
        <w:rPr>
          <w:bCs/>
          <w:i/>
          <w:sz w:val="22"/>
          <w:szCs w:val="22"/>
        </w:rPr>
        <w:t xml:space="preserve"> </w:t>
      </w:r>
      <w:proofErr w:type="spellStart"/>
      <w:r w:rsidRPr="00052555">
        <w:rPr>
          <w:bCs/>
          <w:i/>
          <w:sz w:val="22"/>
          <w:szCs w:val="22"/>
        </w:rPr>
        <w:t>Events</w:t>
      </w:r>
      <w:proofErr w:type="spellEnd"/>
      <w:r w:rsidRPr="00052555">
        <w:rPr>
          <w:bCs/>
          <w:sz w:val="22"/>
          <w:szCs w:val="22"/>
        </w:rPr>
        <w:t xml:space="preserve">): </w:t>
      </w:r>
    </w:p>
    <w:p w:rsidR="00923BDC" w:rsidRPr="00052555" w:rsidRDefault="00923BDC" w:rsidP="00923BDC">
      <w:pPr>
        <w:pStyle w:val="Paragrafoelenco"/>
        <w:rPr>
          <w:bCs/>
          <w:sz w:val="22"/>
          <w:szCs w:val="22"/>
        </w:rPr>
      </w:pPr>
    </w:p>
    <w:p w:rsidR="00923BDC" w:rsidRPr="00052555" w:rsidRDefault="00923BDC" w:rsidP="00923BDC">
      <w:pPr>
        <w:widowControl/>
        <w:numPr>
          <w:ilvl w:val="0"/>
          <w:numId w:val="26"/>
        </w:numPr>
        <w:suppressAutoHyphens w:val="0"/>
        <w:jc w:val="both"/>
        <w:rPr>
          <w:bCs/>
          <w:sz w:val="22"/>
          <w:szCs w:val="22"/>
        </w:rPr>
      </w:pPr>
      <w:r w:rsidRPr="00052555">
        <w:rPr>
          <w:bCs/>
          <w:sz w:val="22"/>
          <w:szCs w:val="22"/>
        </w:rPr>
        <w:t xml:space="preserve">alla data di approvazione della situazione trimestrale consolidata relativa al trimestre che termina il 30 settembre 2015 e sulla base dei dati ivi contenuti (e, con riguardo al calcolo dell’EBITDA, anche sulla base del bilancio consolidato della Società al 31 dicembre 2014 e della situazione trimestrale consolidata della stessa al 30 giugno 2015), il rapporto tra Posizione Finanziaria Netta / EBITDA (da calcolarsi ante oneri non ricorrenti fino ad un ammontare pari ad Euro 40 milioni) e su base </w:t>
      </w:r>
      <w:proofErr w:type="spellStart"/>
      <w:r w:rsidRPr="00052555">
        <w:rPr>
          <w:bCs/>
          <w:i/>
          <w:sz w:val="22"/>
          <w:szCs w:val="22"/>
        </w:rPr>
        <w:t>rolling</w:t>
      </w:r>
      <w:proofErr w:type="spellEnd"/>
      <w:r w:rsidRPr="00052555">
        <w:rPr>
          <w:bCs/>
          <w:i/>
          <w:sz w:val="22"/>
          <w:szCs w:val="22"/>
        </w:rPr>
        <w:t xml:space="preserve"> last </w:t>
      </w:r>
      <w:proofErr w:type="spellStart"/>
      <w:r w:rsidRPr="00052555">
        <w:rPr>
          <w:bCs/>
          <w:i/>
          <w:sz w:val="22"/>
          <w:szCs w:val="22"/>
        </w:rPr>
        <w:t>twelve</w:t>
      </w:r>
      <w:proofErr w:type="spellEnd"/>
      <w:r w:rsidRPr="00052555">
        <w:rPr>
          <w:bCs/>
          <w:i/>
          <w:sz w:val="22"/>
          <w:szCs w:val="22"/>
        </w:rPr>
        <w:t xml:space="preserve"> </w:t>
      </w:r>
      <w:proofErr w:type="spellStart"/>
      <w:r w:rsidRPr="00052555">
        <w:rPr>
          <w:bCs/>
          <w:i/>
          <w:sz w:val="22"/>
          <w:szCs w:val="22"/>
        </w:rPr>
        <w:t>month</w:t>
      </w:r>
      <w:proofErr w:type="spellEnd"/>
      <w:r w:rsidRPr="00052555">
        <w:rPr>
          <w:bCs/>
          <w:sz w:val="22"/>
          <w:szCs w:val="22"/>
        </w:rPr>
        <w:t xml:space="preserve"> sulla base della suddetta situazione trimestrale al 30 settembre 2015 (nonché con riguardo all’EBITDA, del bilancio consolidato al 31 dicembre 2014 e della semestrale al 30 giugno 2015) sia superiore a 4.5x e/o</w:t>
      </w:r>
    </w:p>
    <w:p w:rsidR="00923BDC" w:rsidRPr="00052555" w:rsidRDefault="00923BDC" w:rsidP="00923BDC">
      <w:pPr>
        <w:ind w:left="1065"/>
        <w:rPr>
          <w:bCs/>
          <w:sz w:val="22"/>
          <w:szCs w:val="22"/>
        </w:rPr>
      </w:pPr>
    </w:p>
    <w:p w:rsidR="00923BDC" w:rsidRPr="00052555" w:rsidRDefault="00923BDC" w:rsidP="00923BDC">
      <w:pPr>
        <w:widowControl/>
        <w:numPr>
          <w:ilvl w:val="0"/>
          <w:numId w:val="26"/>
        </w:numPr>
        <w:suppressAutoHyphens w:val="0"/>
        <w:jc w:val="both"/>
        <w:rPr>
          <w:bCs/>
          <w:sz w:val="22"/>
          <w:szCs w:val="22"/>
        </w:rPr>
      </w:pPr>
      <w:proofErr w:type="gramStart"/>
      <w:r w:rsidRPr="00052555">
        <w:rPr>
          <w:bCs/>
          <w:sz w:val="22"/>
          <w:szCs w:val="22"/>
        </w:rPr>
        <w:t>i</w:t>
      </w:r>
      <w:proofErr w:type="gramEnd"/>
      <w:r w:rsidRPr="00052555">
        <w:rPr>
          <w:bCs/>
          <w:sz w:val="22"/>
          <w:szCs w:val="22"/>
        </w:rPr>
        <w:t xml:space="preserve"> proventi effettivamente incassati dalla Società a partire dalla data di sottoscrizione del Contratto di Finanziamento ed entro il 30 settembre 2015 derivanti da atti di disposizione di cd. </w:t>
      </w:r>
      <w:proofErr w:type="spellStart"/>
      <w:r w:rsidRPr="00052555">
        <w:rPr>
          <w:bCs/>
          <w:i/>
          <w:sz w:val="22"/>
          <w:szCs w:val="22"/>
        </w:rPr>
        <w:t>Assets</w:t>
      </w:r>
      <w:proofErr w:type="spellEnd"/>
      <w:r w:rsidRPr="00052555">
        <w:rPr>
          <w:bCs/>
          <w:i/>
          <w:sz w:val="22"/>
          <w:szCs w:val="22"/>
        </w:rPr>
        <w:t xml:space="preserve"> No Core</w:t>
      </w:r>
      <w:r w:rsidRPr="00052555">
        <w:rPr>
          <w:bCs/>
          <w:sz w:val="22"/>
          <w:szCs w:val="22"/>
        </w:rPr>
        <w:t xml:space="preserve"> siano inferiori a Euro 250.000.000,00 (al netto degli importi già corrisposti a titolo di rimborso anticipato volontario a valere sulla Linea di Credito A</w:t>
      </w:r>
      <w:proofErr w:type="gramStart"/>
      <w:r w:rsidRPr="00052555">
        <w:rPr>
          <w:bCs/>
          <w:sz w:val="22"/>
          <w:szCs w:val="22"/>
        </w:rPr>
        <w:t>);  e</w:t>
      </w:r>
      <w:proofErr w:type="gramEnd"/>
      <w:r w:rsidRPr="00052555">
        <w:rPr>
          <w:bCs/>
          <w:sz w:val="22"/>
          <w:szCs w:val="22"/>
        </w:rPr>
        <w:t>/o</w:t>
      </w:r>
    </w:p>
    <w:p w:rsidR="00923BDC" w:rsidRPr="00052555" w:rsidRDefault="00923BDC" w:rsidP="00923BDC">
      <w:pPr>
        <w:rPr>
          <w:sz w:val="22"/>
          <w:szCs w:val="22"/>
        </w:rPr>
      </w:pPr>
    </w:p>
    <w:p w:rsidR="00923BDC" w:rsidRPr="00052555" w:rsidRDefault="00923BDC" w:rsidP="00923BDC">
      <w:pPr>
        <w:ind w:left="705"/>
        <w:rPr>
          <w:sz w:val="22"/>
          <w:szCs w:val="22"/>
        </w:rPr>
      </w:pPr>
      <w:r w:rsidRPr="00052555">
        <w:rPr>
          <w:sz w:val="22"/>
          <w:szCs w:val="22"/>
        </w:rPr>
        <w:t xml:space="preserve">fermo restando che, qualora entro il 31 marzo 2016  l’aumento di capitale oggetto della Delega sia stato liberato per un importo inferiore ad Euro 200.000.000,00 la Società avrà l’obbligo di  alienare per cassa (senza dilazione di pagamento ed </w:t>
      </w:r>
      <w:proofErr w:type="spellStart"/>
      <w:r w:rsidRPr="00052555">
        <w:rPr>
          <w:sz w:val="22"/>
          <w:szCs w:val="22"/>
        </w:rPr>
        <w:t>earn</w:t>
      </w:r>
      <w:proofErr w:type="spellEnd"/>
      <w:r w:rsidRPr="00052555">
        <w:rPr>
          <w:sz w:val="22"/>
          <w:szCs w:val="22"/>
        </w:rPr>
        <w:t xml:space="preserve"> out) gli </w:t>
      </w:r>
      <w:proofErr w:type="spellStart"/>
      <w:r w:rsidRPr="00052555">
        <w:rPr>
          <w:sz w:val="22"/>
          <w:szCs w:val="22"/>
        </w:rPr>
        <w:t>assets</w:t>
      </w:r>
      <w:proofErr w:type="spellEnd"/>
      <w:r w:rsidRPr="00052555">
        <w:rPr>
          <w:sz w:val="22"/>
          <w:szCs w:val="22"/>
        </w:rPr>
        <w:t xml:space="preserve"> diversi dagli </w:t>
      </w:r>
      <w:proofErr w:type="spellStart"/>
      <w:r w:rsidRPr="00052555">
        <w:rPr>
          <w:i/>
          <w:sz w:val="22"/>
          <w:szCs w:val="22"/>
        </w:rPr>
        <w:t>Assets</w:t>
      </w:r>
      <w:proofErr w:type="spellEnd"/>
      <w:r w:rsidRPr="00052555">
        <w:rPr>
          <w:i/>
          <w:sz w:val="22"/>
          <w:szCs w:val="22"/>
        </w:rPr>
        <w:t xml:space="preserve"> No Core</w:t>
      </w:r>
      <w:r w:rsidRPr="00052555">
        <w:rPr>
          <w:sz w:val="22"/>
          <w:szCs w:val="22"/>
        </w:rPr>
        <w:t xml:space="preserve"> (x) i cui contratti di vendita dovranno essere perfezionati entro il 31 marzo 2016; (y) l’incasso dei relativi proventi dovrà effettivamente avvenire entro il 31 marzo 2016 per un importo complessivamente pari alla differenza tra (a) </w:t>
      </w:r>
      <w:bookmarkStart w:id="11" w:name="_DV_C13"/>
      <w:r w:rsidRPr="00052555">
        <w:rPr>
          <w:sz w:val="22"/>
          <w:szCs w:val="22"/>
        </w:rPr>
        <w:t>Euro 200.000.000,00 e (b) l’importo effettivamente liberato e versato per cassa nonché destinato a rimborso anticipato del Finanziamento in conformità al Contratto di Finanziamento a seguito dell’esecuzione</w:t>
      </w:r>
      <w:bookmarkEnd w:id="11"/>
      <w:r w:rsidRPr="00052555">
        <w:rPr>
          <w:sz w:val="22"/>
          <w:szCs w:val="22"/>
        </w:rPr>
        <w:t xml:space="preserve"> dell’aumento di capitale oggetto della Delega effettivamente sottoscritto; (z) </w:t>
      </w:r>
      <w:r w:rsidRPr="00052555">
        <w:rPr>
          <w:sz w:val="22"/>
          <w:szCs w:val="22"/>
        </w:rPr>
        <w:tab/>
        <w:t xml:space="preserve">i cui proventi di vendita dovranno essere imputati a rimborso anticipato obbligatorio della Linea di Credito “A”, fino a concorrenza del rimborso integrale della stessa, e della Linea di Credito “B”, da effettuarsi riducendo gli importi delle rate a partire dalla rata più prossima. </w:t>
      </w:r>
    </w:p>
    <w:p w:rsidR="00923BDC" w:rsidRPr="00845BE8" w:rsidRDefault="00923BDC" w:rsidP="00923BDC">
      <w:pPr>
        <w:pStyle w:val="puntato"/>
        <w:numPr>
          <w:ilvl w:val="0"/>
          <w:numId w:val="0"/>
        </w:numPr>
        <w:rPr>
          <w:szCs w:val="22"/>
          <w:highlight w:val="yellow"/>
        </w:rPr>
      </w:pPr>
    </w:p>
    <w:p w:rsidR="00923BDC" w:rsidRPr="00052555" w:rsidRDefault="00923BDC" w:rsidP="00923BDC">
      <w:pPr>
        <w:pStyle w:val="puntato"/>
        <w:numPr>
          <w:ilvl w:val="0"/>
          <w:numId w:val="0"/>
        </w:numPr>
        <w:rPr>
          <w:szCs w:val="22"/>
          <w:highlight w:val="yellow"/>
        </w:rPr>
      </w:pPr>
    </w:p>
    <w:p w:rsidR="00923BDC" w:rsidRPr="00052555" w:rsidRDefault="00923BDC" w:rsidP="00923BDC">
      <w:pPr>
        <w:pStyle w:val="Paragrafoelenco"/>
        <w:widowControl/>
        <w:numPr>
          <w:ilvl w:val="0"/>
          <w:numId w:val="12"/>
        </w:numPr>
        <w:suppressAutoHyphens w:val="0"/>
        <w:ind w:left="1080"/>
        <w:jc w:val="both"/>
        <w:rPr>
          <w:rStyle w:val="s6"/>
          <w:b/>
          <w:bCs/>
          <w:sz w:val="22"/>
          <w:szCs w:val="22"/>
        </w:rPr>
      </w:pPr>
      <w:r w:rsidRPr="00052555">
        <w:rPr>
          <w:rStyle w:val="s6"/>
          <w:b/>
          <w:sz w:val="22"/>
          <w:szCs w:val="22"/>
        </w:rPr>
        <w:t xml:space="preserve">Lo stato di implementazione del piano industriale, con l’evidenziazione degli eventuali scostamenti dei dati consuntivati rispetto a quelli previsti  </w:t>
      </w:r>
    </w:p>
    <w:p w:rsidR="00923BDC" w:rsidRPr="00052555" w:rsidRDefault="00923BDC" w:rsidP="00923BDC">
      <w:pPr>
        <w:pStyle w:val="Paragrafoelenco"/>
        <w:ind w:left="1080"/>
        <w:rPr>
          <w:rStyle w:val="s6"/>
          <w:b/>
          <w:sz w:val="22"/>
          <w:szCs w:val="22"/>
          <w:highlight w:val="yellow"/>
        </w:rPr>
      </w:pPr>
    </w:p>
    <w:p w:rsidR="00456302" w:rsidRDefault="00456302" w:rsidP="00456302">
      <w:pPr>
        <w:pStyle w:val="default0"/>
        <w:jc w:val="both"/>
        <w:rPr>
          <w:rFonts w:eastAsia="Times New Roman"/>
          <w:color w:val="auto"/>
          <w:sz w:val="22"/>
          <w:szCs w:val="22"/>
        </w:rPr>
      </w:pPr>
      <w:r w:rsidRPr="00B65FB7">
        <w:rPr>
          <w:rFonts w:eastAsia="Times New Roman"/>
          <w:color w:val="auto"/>
          <w:sz w:val="22"/>
          <w:szCs w:val="22"/>
        </w:rPr>
        <w:t xml:space="preserve">Nei primi mesi del 2015 </w:t>
      </w:r>
      <w:r>
        <w:rPr>
          <w:rFonts w:eastAsia="Times New Roman"/>
          <w:color w:val="auto"/>
          <w:sz w:val="22"/>
          <w:szCs w:val="22"/>
        </w:rPr>
        <w:t>le</w:t>
      </w:r>
      <w:r w:rsidRPr="00B65FB7">
        <w:rPr>
          <w:rFonts w:eastAsia="Times New Roman"/>
          <w:color w:val="auto"/>
          <w:sz w:val="22"/>
          <w:szCs w:val="22"/>
        </w:rPr>
        <w:t xml:space="preserve"> </w:t>
      </w:r>
      <w:r>
        <w:rPr>
          <w:rFonts w:eastAsia="Times New Roman"/>
          <w:color w:val="auto"/>
          <w:sz w:val="22"/>
          <w:szCs w:val="22"/>
        </w:rPr>
        <w:t xml:space="preserve">prospettive di </w:t>
      </w:r>
      <w:r w:rsidRPr="00B65FB7">
        <w:rPr>
          <w:rFonts w:eastAsia="Times New Roman"/>
          <w:color w:val="auto"/>
          <w:sz w:val="22"/>
          <w:szCs w:val="22"/>
        </w:rPr>
        <w:t>ripresa economi</w:t>
      </w:r>
      <w:r>
        <w:rPr>
          <w:rFonts w:eastAsia="Times New Roman"/>
          <w:color w:val="auto"/>
          <w:sz w:val="22"/>
          <w:szCs w:val="22"/>
        </w:rPr>
        <w:t>c</w:t>
      </w:r>
      <w:r w:rsidRPr="00B65FB7">
        <w:rPr>
          <w:rFonts w:eastAsia="Times New Roman"/>
          <w:color w:val="auto"/>
          <w:sz w:val="22"/>
          <w:szCs w:val="22"/>
        </w:rPr>
        <w:t>a</w:t>
      </w:r>
      <w:r>
        <w:rPr>
          <w:rFonts w:eastAsia="Times New Roman"/>
          <w:color w:val="auto"/>
          <w:sz w:val="22"/>
          <w:szCs w:val="22"/>
        </w:rPr>
        <w:t xml:space="preserve"> in Italia sono caratterizzate dall’incertezza</w:t>
      </w:r>
      <w:r w:rsidRPr="00B65FB7">
        <w:rPr>
          <w:rFonts w:eastAsia="Times New Roman"/>
          <w:color w:val="auto"/>
          <w:sz w:val="22"/>
          <w:szCs w:val="22"/>
        </w:rPr>
        <w:t xml:space="preserve">. Nel primo trimestre 2015 il PIL italiano </w:t>
      </w:r>
      <w:r>
        <w:rPr>
          <w:rFonts w:eastAsia="Times New Roman"/>
          <w:color w:val="auto"/>
          <w:sz w:val="22"/>
          <w:szCs w:val="22"/>
        </w:rPr>
        <w:t xml:space="preserve">è risultato invariato rispetto al primo trimestre 2014 (+0,3% rispetto al trimestre precedente – Fonte Istat). </w:t>
      </w:r>
    </w:p>
    <w:p w:rsidR="00456302" w:rsidRDefault="00456302" w:rsidP="00456302">
      <w:pPr>
        <w:pStyle w:val="default0"/>
        <w:jc w:val="both"/>
        <w:rPr>
          <w:rFonts w:eastAsia="Times New Roman"/>
          <w:color w:val="auto"/>
          <w:sz w:val="22"/>
          <w:szCs w:val="22"/>
        </w:rPr>
      </w:pPr>
    </w:p>
    <w:p w:rsidR="00456302" w:rsidRDefault="00456302" w:rsidP="00456302">
      <w:pPr>
        <w:pStyle w:val="default0"/>
        <w:jc w:val="both"/>
        <w:rPr>
          <w:rFonts w:eastAsia="Times New Roman"/>
          <w:color w:val="auto"/>
          <w:sz w:val="22"/>
          <w:szCs w:val="22"/>
        </w:rPr>
      </w:pPr>
      <w:r w:rsidRPr="00B65FB7">
        <w:rPr>
          <w:rFonts w:eastAsia="Times New Roman"/>
          <w:color w:val="auto"/>
          <w:sz w:val="22"/>
          <w:szCs w:val="22"/>
        </w:rPr>
        <w:t xml:space="preserve">Il mercato pubblicitario a fine </w:t>
      </w:r>
      <w:r>
        <w:rPr>
          <w:rFonts w:eastAsia="Times New Roman"/>
          <w:color w:val="auto"/>
          <w:sz w:val="22"/>
          <w:szCs w:val="22"/>
        </w:rPr>
        <w:t>marzo</w:t>
      </w:r>
      <w:r w:rsidRPr="00B65FB7">
        <w:rPr>
          <w:rFonts w:eastAsia="Times New Roman"/>
          <w:color w:val="auto"/>
          <w:sz w:val="22"/>
          <w:szCs w:val="22"/>
        </w:rPr>
        <w:t xml:space="preserve"> 2015 risulta in contrazione del </w:t>
      </w:r>
      <w:r>
        <w:rPr>
          <w:rFonts w:eastAsia="Times New Roman"/>
          <w:color w:val="auto"/>
          <w:sz w:val="22"/>
          <w:szCs w:val="22"/>
        </w:rPr>
        <w:t>2,1</w:t>
      </w:r>
      <w:r w:rsidRPr="00B65FB7">
        <w:rPr>
          <w:rFonts w:eastAsia="Times New Roman"/>
          <w:color w:val="auto"/>
          <w:sz w:val="22"/>
          <w:szCs w:val="22"/>
        </w:rPr>
        <w:t>% rispetto al corrispondente periodo dell’anno precedente. Per il mezzo stampa si registra un calo complessivo del</w:t>
      </w:r>
      <w:r>
        <w:rPr>
          <w:rFonts w:eastAsia="Times New Roman"/>
          <w:color w:val="auto"/>
          <w:sz w:val="22"/>
          <w:szCs w:val="22"/>
        </w:rPr>
        <w:t xml:space="preserve"> 5,8</w:t>
      </w:r>
      <w:r w:rsidRPr="00B65FB7">
        <w:rPr>
          <w:rFonts w:eastAsia="Times New Roman"/>
          <w:color w:val="auto"/>
          <w:sz w:val="22"/>
          <w:szCs w:val="22"/>
        </w:rPr>
        <w:t xml:space="preserve">%, con i quotidiani in flessione del </w:t>
      </w:r>
      <w:r>
        <w:rPr>
          <w:rFonts w:eastAsia="Times New Roman"/>
          <w:color w:val="auto"/>
          <w:sz w:val="22"/>
          <w:szCs w:val="22"/>
        </w:rPr>
        <w:t>6</w:t>
      </w:r>
      <w:r w:rsidRPr="00B65FB7">
        <w:rPr>
          <w:rFonts w:eastAsia="Times New Roman"/>
          <w:color w:val="auto"/>
          <w:sz w:val="22"/>
          <w:szCs w:val="22"/>
        </w:rPr>
        <w:t xml:space="preserve">,9%, con un andamento negativo sia per la commerciale nazionale sia per la raccolta locale, ed i periodici in calo del </w:t>
      </w:r>
      <w:r>
        <w:rPr>
          <w:rFonts w:eastAsia="Times New Roman"/>
          <w:color w:val="auto"/>
          <w:sz w:val="22"/>
          <w:szCs w:val="22"/>
        </w:rPr>
        <w:t>3,9</w:t>
      </w:r>
      <w:r w:rsidRPr="00B65FB7">
        <w:rPr>
          <w:rFonts w:eastAsia="Times New Roman"/>
          <w:color w:val="auto"/>
          <w:sz w:val="22"/>
          <w:szCs w:val="22"/>
        </w:rPr>
        <w:t xml:space="preserve">% (Fonte Nielsen) confermando il trend negativo degli ultimi mesi. </w:t>
      </w:r>
    </w:p>
    <w:p w:rsidR="00456302" w:rsidRDefault="00456302" w:rsidP="00923BDC">
      <w:pPr>
        <w:pStyle w:val="default0"/>
        <w:jc w:val="both"/>
        <w:rPr>
          <w:rFonts w:eastAsia="Times New Roman"/>
          <w:color w:val="auto"/>
          <w:sz w:val="22"/>
          <w:szCs w:val="22"/>
        </w:rPr>
      </w:pPr>
    </w:p>
    <w:p w:rsidR="00923BDC" w:rsidRPr="00052555" w:rsidRDefault="00923BDC" w:rsidP="00923BDC">
      <w:pPr>
        <w:pStyle w:val="default0"/>
        <w:jc w:val="both"/>
        <w:rPr>
          <w:rFonts w:eastAsia="Times New Roman"/>
          <w:color w:val="auto"/>
          <w:sz w:val="22"/>
          <w:szCs w:val="22"/>
        </w:rPr>
      </w:pPr>
      <w:r w:rsidRPr="00052555">
        <w:rPr>
          <w:rFonts w:eastAsia="Times New Roman"/>
          <w:color w:val="auto"/>
          <w:sz w:val="22"/>
          <w:szCs w:val="22"/>
        </w:rPr>
        <w:t xml:space="preserve">Sul fronte diffusionale continua, anche nel 2015, la tendenza non favorevole del mercato dei prodotti cartacei per l’accelerazione delle vendite in versione digitale e multimediale e per l’aumento dei prezzi delle testate principali verificatosi nel corso della seconda parte del 2014 e a gennaio del 2015. </w:t>
      </w:r>
    </w:p>
    <w:p w:rsidR="00923BDC" w:rsidRPr="00052555" w:rsidRDefault="00923BDC" w:rsidP="00923BDC">
      <w:pPr>
        <w:pStyle w:val="default0"/>
        <w:jc w:val="both"/>
        <w:rPr>
          <w:rFonts w:eastAsia="Times New Roman"/>
          <w:color w:val="auto"/>
          <w:sz w:val="22"/>
          <w:szCs w:val="22"/>
        </w:rPr>
      </w:pPr>
    </w:p>
    <w:p w:rsidR="00923BDC" w:rsidRPr="00052555" w:rsidRDefault="00923BDC" w:rsidP="00923BDC">
      <w:pPr>
        <w:pStyle w:val="default0"/>
        <w:jc w:val="both"/>
        <w:rPr>
          <w:rFonts w:eastAsia="Times New Roman"/>
          <w:color w:val="auto"/>
          <w:sz w:val="22"/>
          <w:szCs w:val="22"/>
        </w:rPr>
      </w:pPr>
      <w:r w:rsidRPr="00052555">
        <w:rPr>
          <w:sz w:val="22"/>
          <w:szCs w:val="22"/>
        </w:rPr>
        <w:t>Per contro</w:t>
      </w:r>
      <w:r w:rsidRPr="00052555">
        <w:rPr>
          <w:rFonts w:eastAsia="Times New Roman"/>
          <w:color w:val="auto"/>
          <w:sz w:val="22"/>
          <w:szCs w:val="22"/>
        </w:rPr>
        <w:t xml:space="preserve"> in Spagna prosegue la tendenza positiva, evidenziata dal PIL a partire dal primo semestre 2014 (+1,4% nell’esercizio 2014). In </w:t>
      </w:r>
      <w:proofErr w:type="gramStart"/>
      <w:r w:rsidRPr="00052555">
        <w:rPr>
          <w:rFonts w:eastAsia="Times New Roman"/>
          <w:color w:val="auto"/>
          <w:sz w:val="22"/>
          <w:szCs w:val="22"/>
        </w:rPr>
        <w:t>particolare  nel</w:t>
      </w:r>
      <w:proofErr w:type="gramEnd"/>
      <w:r w:rsidRPr="00052555">
        <w:rPr>
          <w:rFonts w:eastAsia="Times New Roman"/>
          <w:color w:val="auto"/>
          <w:sz w:val="22"/>
          <w:szCs w:val="22"/>
        </w:rPr>
        <w:t xml:space="preserve"> primo trimestre 2015  la crescita è stata dello 0,9 per cento e su base annua del 2,6% (Fonte Ine). </w:t>
      </w:r>
    </w:p>
    <w:p w:rsidR="00923BDC" w:rsidRPr="00052555" w:rsidRDefault="00923BDC" w:rsidP="00923BDC">
      <w:pPr>
        <w:pStyle w:val="default0"/>
        <w:jc w:val="both"/>
        <w:rPr>
          <w:rFonts w:eastAsia="Times New Roman"/>
          <w:color w:val="auto"/>
          <w:sz w:val="22"/>
          <w:szCs w:val="22"/>
        </w:rPr>
      </w:pPr>
      <w:r w:rsidRPr="00052555">
        <w:rPr>
          <w:rFonts w:eastAsia="Times New Roman"/>
          <w:color w:val="auto"/>
          <w:sz w:val="22"/>
          <w:szCs w:val="22"/>
        </w:rPr>
        <w:t>Il mercato pubblicitario complessivo evidenzia un incremento del 7,4% rispetto al primo trimestre del 2014, ed in particolare il mezzo internet si incrementa del 13,2% (fonte I2P/</w:t>
      </w:r>
      <w:proofErr w:type="spellStart"/>
      <w:r w:rsidRPr="00052555">
        <w:rPr>
          <w:rFonts w:eastAsia="Times New Roman"/>
          <w:color w:val="auto"/>
          <w:sz w:val="22"/>
          <w:szCs w:val="22"/>
        </w:rPr>
        <w:t>ArceMedia</w:t>
      </w:r>
      <w:proofErr w:type="spellEnd"/>
      <w:r w:rsidRPr="00052555">
        <w:rPr>
          <w:rFonts w:eastAsia="Times New Roman"/>
          <w:color w:val="auto"/>
          <w:sz w:val="22"/>
          <w:szCs w:val="22"/>
        </w:rPr>
        <w:t>) ed il mezzo quotidiani dell’1,2% trainato dalla buona performance dei quotidiani locali mentre i quotidiani nazionali sono in calo. Per contro sul fronte diffusionale prosegue anche in Spagna il trend negativo delle vendite dei quotidiani (Fonte OJD).</w:t>
      </w:r>
    </w:p>
    <w:p w:rsidR="00923BDC" w:rsidRPr="00052555" w:rsidRDefault="00923BDC" w:rsidP="00923BDC">
      <w:pPr>
        <w:pStyle w:val="Default"/>
        <w:rPr>
          <w:color w:val="auto"/>
          <w:sz w:val="22"/>
          <w:szCs w:val="22"/>
        </w:rPr>
      </w:pPr>
    </w:p>
    <w:p w:rsidR="00923BDC" w:rsidRPr="00052555" w:rsidRDefault="00923BDC" w:rsidP="00923BDC">
      <w:pPr>
        <w:pStyle w:val="default0"/>
        <w:jc w:val="both"/>
        <w:rPr>
          <w:rFonts w:eastAsia="Times New Roman"/>
          <w:color w:val="auto"/>
          <w:sz w:val="22"/>
          <w:szCs w:val="22"/>
        </w:rPr>
      </w:pPr>
      <w:r w:rsidRPr="00052555">
        <w:rPr>
          <w:rFonts w:eastAsia="Times New Roman"/>
          <w:color w:val="auto"/>
          <w:sz w:val="22"/>
          <w:szCs w:val="22"/>
        </w:rPr>
        <w:t>In risposta alle dinamiche sfavorevoli dei mercati di riferimento, il Gruppo RCS ha continuato anche nel 2015 a perseguire con determinazione il raggiungimento di ulteriori azioni di efficienza, che con benefici sui costi superiori a quanto previsto nel Piano per lo Sviluppo 2013-2015 è riuscito a preservare, nel primo trimestre dell’anno, i risultati in linea con quanto previsto dal Budget stesso.</w:t>
      </w:r>
    </w:p>
    <w:p w:rsidR="00923BDC" w:rsidRPr="00052555" w:rsidRDefault="00923BDC" w:rsidP="00923BDC">
      <w:pPr>
        <w:pStyle w:val="default0"/>
        <w:jc w:val="both"/>
        <w:rPr>
          <w:rFonts w:eastAsia="Times New Roman"/>
          <w:color w:val="auto"/>
          <w:sz w:val="22"/>
          <w:szCs w:val="22"/>
        </w:rPr>
      </w:pPr>
      <w:r w:rsidRPr="00052555">
        <w:rPr>
          <w:rFonts w:eastAsia="Times New Roman"/>
          <w:color w:val="auto"/>
          <w:sz w:val="22"/>
          <w:szCs w:val="22"/>
        </w:rPr>
        <w:t>In particolare, rispetto alle previsioni formulate nell’ambito del Budget 2015, nel primo trimestre dell’anno il Gruppo ha realizzato complessivamente risultati in linea ai target di EBITDA, Efficienze, Indebitamento Finanziario Netto. I ricavi del primo trimestre dell’anno sono invece lievemente inferiori rispetto agli obiettivi fissati per il periodo nell’ambito del Budget 2015 (-1,5</w:t>
      </w:r>
      <w:proofErr w:type="gramStart"/>
      <w:r w:rsidRPr="00052555">
        <w:rPr>
          <w:rFonts w:eastAsia="Times New Roman"/>
          <w:color w:val="auto"/>
          <w:sz w:val="22"/>
          <w:szCs w:val="22"/>
        </w:rPr>
        <w:t>%),  risentendo</w:t>
      </w:r>
      <w:proofErr w:type="gramEnd"/>
      <w:r w:rsidRPr="00052555">
        <w:rPr>
          <w:rFonts w:eastAsia="Times New Roman"/>
          <w:color w:val="auto"/>
          <w:sz w:val="22"/>
          <w:szCs w:val="22"/>
        </w:rPr>
        <w:t xml:space="preserve"> in Italia del contesto di mercato pubblicitario sopracitato,  nonché in Spagna della flessione delle diffusioni cartacee, in linea con un andamento di mercato ancora marcatamente sfavorevole, solo in parte compensata dall’andamento in crescita delle edizioni digitali delle testate spagnole. </w:t>
      </w:r>
    </w:p>
    <w:p w:rsidR="00923BDC" w:rsidRPr="00052555" w:rsidRDefault="00923BDC" w:rsidP="00923BDC">
      <w:pPr>
        <w:pStyle w:val="Default"/>
        <w:jc w:val="both"/>
        <w:rPr>
          <w:color w:val="auto"/>
          <w:sz w:val="22"/>
          <w:szCs w:val="22"/>
        </w:rPr>
      </w:pPr>
      <w:r w:rsidRPr="00052555">
        <w:rPr>
          <w:color w:val="auto"/>
          <w:sz w:val="22"/>
          <w:szCs w:val="22"/>
        </w:rPr>
        <w:t>Nonostante il calo dei ricavi, l’EBITDA, risulta essere in miglioramento rispetto al primo trimestre 2014.</w:t>
      </w:r>
    </w:p>
    <w:p w:rsidR="00923BDC" w:rsidRPr="00052555" w:rsidRDefault="00923BDC" w:rsidP="00923BDC">
      <w:pPr>
        <w:pStyle w:val="Default"/>
        <w:rPr>
          <w:color w:val="auto"/>
          <w:sz w:val="22"/>
          <w:szCs w:val="22"/>
        </w:rPr>
      </w:pPr>
    </w:p>
    <w:p w:rsidR="00923BDC" w:rsidRPr="00052555" w:rsidRDefault="00923BDC" w:rsidP="00923BDC">
      <w:pPr>
        <w:pStyle w:val="Default"/>
        <w:jc w:val="both"/>
        <w:rPr>
          <w:color w:val="auto"/>
          <w:sz w:val="22"/>
          <w:szCs w:val="22"/>
        </w:rPr>
      </w:pPr>
      <w:r w:rsidRPr="00052555">
        <w:rPr>
          <w:color w:val="auto"/>
          <w:sz w:val="22"/>
          <w:szCs w:val="22"/>
        </w:rPr>
        <w:t>L’indebitamento finanziario netto consolidato al 31 marzo 2015, anch’esso in linea con il Budget, evidenzia rispetto al 31 marzo 2014 un miglioramento di 14 milioni.</w:t>
      </w:r>
    </w:p>
    <w:p w:rsidR="00923BDC" w:rsidRPr="00052555" w:rsidRDefault="00923BDC" w:rsidP="00923BDC">
      <w:pPr>
        <w:pStyle w:val="Default"/>
        <w:jc w:val="both"/>
        <w:rPr>
          <w:color w:val="auto"/>
          <w:sz w:val="22"/>
          <w:szCs w:val="22"/>
        </w:rPr>
      </w:pPr>
      <w:r w:rsidRPr="00052555">
        <w:rPr>
          <w:color w:val="auto"/>
          <w:sz w:val="22"/>
          <w:szCs w:val="22"/>
        </w:rPr>
        <w:t xml:space="preserve">Le previsioni di riduzione connesse al progressivo avanzare della valorizzazione degli </w:t>
      </w:r>
      <w:proofErr w:type="spellStart"/>
      <w:r w:rsidRPr="00052555">
        <w:rPr>
          <w:i/>
          <w:color w:val="auto"/>
          <w:sz w:val="22"/>
          <w:szCs w:val="22"/>
        </w:rPr>
        <w:t>Assets</w:t>
      </w:r>
      <w:proofErr w:type="spellEnd"/>
      <w:r w:rsidRPr="00052555">
        <w:rPr>
          <w:i/>
          <w:color w:val="auto"/>
          <w:sz w:val="22"/>
          <w:szCs w:val="22"/>
        </w:rPr>
        <w:t xml:space="preserve"> No Core</w:t>
      </w:r>
      <w:r w:rsidRPr="00052555">
        <w:rPr>
          <w:color w:val="auto"/>
          <w:sz w:val="22"/>
          <w:szCs w:val="22"/>
        </w:rPr>
        <w:t xml:space="preserve"> hanno evidenziato una tempistica diversa, già riflessa nelle più recenti comunicazioni al mercato. Proseguono le negoziazioni volte alla valorizzazione degli </w:t>
      </w:r>
      <w:proofErr w:type="spellStart"/>
      <w:r w:rsidRPr="00052555">
        <w:rPr>
          <w:i/>
          <w:color w:val="auto"/>
          <w:sz w:val="22"/>
          <w:szCs w:val="22"/>
        </w:rPr>
        <w:t>Assets</w:t>
      </w:r>
      <w:proofErr w:type="spellEnd"/>
      <w:r w:rsidRPr="00052555">
        <w:rPr>
          <w:i/>
          <w:color w:val="auto"/>
          <w:sz w:val="22"/>
          <w:szCs w:val="22"/>
        </w:rPr>
        <w:t xml:space="preserve"> No Core</w:t>
      </w:r>
      <w:r w:rsidRPr="00052555">
        <w:rPr>
          <w:color w:val="auto"/>
          <w:sz w:val="22"/>
          <w:szCs w:val="22"/>
        </w:rPr>
        <w:t>, i cui effetti positivi sulla PFN (indebitamento netto consolidato) si manifesteranno nel corso del 2015.</w:t>
      </w:r>
    </w:p>
    <w:p w:rsidR="00923BDC" w:rsidRPr="00052555" w:rsidRDefault="00923BDC" w:rsidP="00923BDC">
      <w:pPr>
        <w:autoSpaceDE w:val="0"/>
        <w:autoSpaceDN w:val="0"/>
        <w:adjustRightInd w:val="0"/>
        <w:rPr>
          <w:sz w:val="22"/>
          <w:szCs w:val="22"/>
          <w:highlight w:val="yellow"/>
        </w:rPr>
      </w:pPr>
    </w:p>
    <w:p w:rsidR="00923BDC" w:rsidRPr="00052555" w:rsidRDefault="00923BDC" w:rsidP="00923BDC">
      <w:pPr>
        <w:rPr>
          <w:sz w:val="22"/>
          <w:szCs w:val="22"/>
        </w:rPr>
      </w:pPr>
    </w:p>
    <w:p w:rsidR="00923BDC" w:rsidRPr="00052555" w:rsidRDefault="00923BDC" w:rsidP="00923BDC">
      <w:pPr>
        <w:rPr>
          <w:sz w:val="22"/>
          <w:szCs w:val="22"/>
          <w:lang w:eastAsia="it-IT"/>
        </w:rPr>
      </w:pPr>
    </w:p>
    <w:sectPr w:rsidR="00923BDC" w:rsidRPr="00052555" w:rsidSect="006C5DBC">
      <w:headerReference w:type="even" r:id="rId15"/>
      <w:headerReference w:type="default" r:id="rId16"/>
      <w:footerReference w:type="even" r:id="rId17"/>
      <w:footerReference w:type="default" r:id="rId18"/>
      <w:headerReference w:type="first" r:id="rId19"/>
      <w:footerReference w:type="first" r:id="rId20"/>
      <w:pgSz w:w="11906" w:h="16838"/>
      <w:pgMar w:top="2092" w:right="991" w:bottom="624" w:left="1134" w:header="0" w:footer="1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27A" w:rsidRDefault="00E7127A">
      <w:r>
        <w:separator/>
      </w:r>
    </w:p>
    <w:p w:rsidR="00E7127A" w:rsidRDefault="00E7127A"/>
  </w:endnote>
  <w:endnote w:type="continuationSeparator" w:id="0">
    <w:p w:rsidR="00E7127A" w:rsidRDefault="00E7127A">
      <w:r>
        <w:continuationSeparator/>
      </w:r>
    </w:p>
    <w:p w:rsidR="00E7127A" w:rsidRDefault="00E71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E8" w:rsidRDefault="00613FE8">
    <w:pPr>
      <w:pStyle w:val="Pidipagina"/>
    </w:pPr>
  </w:p>
  <w:p w:rsidR="00613FE8" w:rsidRDefault="00613F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E8" w:rsidRPr="00C72E31" w:rsidRDefault="00613FE8">
    <w:pPr>
      <w:pStyle w:val="Pidipagina"/>
      <w:jc w:val="right"/>
      <w:rPr>
        <w:sz w:val="18"/>
        <w:szCs w:val="18"/>
      </w:rPr>
    </w:pPr>
    <w:r w:rsidRPr="00C72E31">
      <w:rPr>
        <w:sz w:val="18"/>
        <w:szCs w:val="18"/>
      </w:rPr>
      <w:fldChar w:fldCharType="begin"/>
    </w:r>
    <w:r w:rsidRPr="00C72E31">
      <w:rPr>
        <w:sz w:val="18"/>
        <w:szCs w:val="18"/>
      </w:rPr>
      <w:instrText>PAGE   \* MERGEFORMAT</w:instrText>
    </w:r>
    <w:r w:rsidRPr="00C72E31">
      <w:rPr>
        <w:sz w:val="18"/>
        <w:szCs w:val="18"/>
      </w:rPr>
      <w:fldChar w:fldCharType="separate"/>
    </w:r>
    <w:r w:rsidR="00E84BDE">
      <w:rPr>
        <w:noProof/>
        <w:sz w:val="18"/>
        <w:szCs w:val="18"/>
      </w:rPr>
      <w:t>15</w:t>
    </w:r>
    <w:r w:rsidRPr="00C72E31">
      <w:rPr>
        <w:sz w:val="18"/>
        <w:szCs w:val="18"/>
      </w:rPr>
      <w:fldChar w:fldCharType="end"/>
    </w:r>
  </w:p>
  <w:p w:rsidR="00613FE8" w:rsidRPr="00C72E31" w:rsidRDefault="00613FE8">
    <w:pPr>
      <w:pStyle w:val="Pidipagina"/>
      <w:rPr>
        <w:sz w:val="18"/>
        <w:szCs w:val="18"/>
      </w:rPr>
    </w:pPr>
  </w:p>
  <w:p w:rsidR="00613FE8" w:rsidRDefault="00613F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E8" w:rsidRPr="00234738" w:rsidRDefault="00613FE8">
    <w:pPr>
      <w:pStyle w:val="Pidipagina"/>
      <w:ind w:left="-851"/>
      <w:jc w:val="center"/>
    </w:pPr>
    <w:r w:rsidRPr="00234738">
      <w:rPr>
        <w:noProof/>
        <w:lang w:eastAsia="it-IT"/>
      </w:rPr>
      <w:drawing>
        <wp:inline distT="0" distB="0" distL="0" distR="0" wp14:anchorId="2498909A" wp14:editId="0BF0200F">
          <wp:extent cx="7563485" cy="347980"/>
          <wp:effectExtent l="0" t="0" r="5715" b="7620"/>
          <wp:docPr id="15" name="Immagine 15" descr="piedino-cartain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dino-cartaintes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347980"/>
                  </a:xfrm>
                  <a:prstGeom prst="rect">
                    <a:avLst/>
                  </a:prstGeom>
                  <a:noFill/>
                  <a:ln>
                    <a:noFill/>
                  </a:ln>
                </pic:spPr>
              </pic:pic>
            </a:graphicData>
          </a:graphic>
        </wp:inline>
      </w:drawing>
    </w:r>
  </w:p>
  <w:p w:rsidR="00613FE8" w:rsidRDefault="00613FE8">
    <w:pPr>
      <w:pStyle w:val="Pidipagina"/>
      <w:ind w:left="-85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27A" w:rsidRDefault="00E7127A">
      <w:r>
        <w:separator/>
      </w:r>
    </w:p>
    <w:p w:rsidR="00E7127A" w:rsidRDefault="00E7127A"/>
  </w:footnote>
  <w:footnote w:type="continuationSeparator" w:id="0">
    <w:p w:rsidR="00E7127A" w:rsidRDefault="00E7127A">
      <w:r>
        <w:continuationSeparator/>
      </w:r>
    </w:p>
    <w:p w:rsidR="00E7127A" w:rsidRDefault="00E7127A"/>
  </w:footnote>
  <w:footnote w:id="1">
    <w:p w:rsidR="00613FE8" w:rsidRDefault="00613FE8" w:rsidP="00923BDC">
      <w:pPr>
        <w:pStyle w:val="note"/>
        <w:ind w:left="142" w:hanging="142"/>
      </w:pPr>
      <w:r>
        <w:t xml:space="preserve">(1) In data 1 marzo 2014 è stato ceduto il ramo d’attività ed il marchio Casa Editrice La Tribuna. Tale variazione ha comportato complessivamente minor ricavi consolidati per 0,3 milioni ed un miglioramento dell’EBITDA pari a 0,4 milioni. </w:t>
      </w:r>
    </w:p>
    <w:p w:rsidR="00613FE8" w:rsidRDefault="00613FE8" w:rsidP="00923BDC">
      <w:pPr>
        <w:pStyle w:val="note"/>
        <w:ind w:left="142" w:hanging="142"/>
      </w:pPr>
      <w:r>
        <w:t xml:space="preserve">    Indicatori alternativi di performance:</w:t>
      </w:r>
    </w:p>
    <w:p w:rsidR="00613FE8" w:rsidRPr="000D4FFE" w:rsidRDefault="00613FE8" w:rsidP="00D26308">
      <w:pPr>
        <w:pStyle w:val="note"/>
        <w:ind w:left="142" w:hanging="142"/>
        <w:rPr>
          <w:position w:val="0"/>
          <w:szCs w:val="14"/>
        </w:rPr>
      </w:pPr>
      <w:r>
        <w:t xml:space="preserve">    </w:t>
      </w:r>
      <w:r w:rsidRPr="000D4FFE">
        <w:rPr>
          <w:position w:val="0"/>
          <w:szCs w:val="14"/>
        </w:rPr>
        <w:t>EBITDA - da intendersi come risultato operativo ante ammortamenti e sval</w:t>
      </w:r>
      <w:r>
        <w:rPr>
          <w:position w:val="0"/>
          <w:szCs w:val="14"/>
        </w:rPr>
        <w:t>utazioni delle immobilizzazioni.</w:t>
      </w:r>
    </w:p>
    <w:p w:rsidR="00613FE8" w:rsidRDefault="00613FE8" w:rsidP="00923BDC">
      <w:pPr>
        <w:pStyle w:val="note"/>
        <w:tabs>
          <w:tab w:val="left" w:pos="9720"/>
        </w:tabs>
        <w:ind w:left="142"/>
      </w:pPr>
      <w:r>
        <w:t xml:space="preserve">Indebitamento Finanziario Netto - </w:t>
      </w:r>
      <w:r w:rsidRPr="00CF369C">
        <w:t>Indicatore della struttura finanziaria determinato quale risultante dei debiti finanziari correnti e non correnti al netto delle disponibilità liquide e mezzi equivalenti nonché delle attività finanziarie correnti e delle attività finanziarie non correnti relative agli strumenti derivati. La posizione finanziaria netta definita dalla comunicazione CONSOB DEM/6064293 del 28 luglio 2006 esclude le attività finanziarie non correnti. Le attività finanziarie non correnti al 31 marzo 201</w:t>
      </w:r>
      <w:r>
        <w:t>, al 31 marzo 2014</w:t>
      </w:r>
      <w:r w:rsidRPr="00CF369C">
        <w:t xml:space="preserve"> e al 31 dicembre 2014 sono pari a zero e pertanto l’indicatore finanziario di RCS al 31 marzo 2015</w:t>
      </w:r>
      <w:r>
        <w:t>, al 31 marzo 2014</w:t>
      </w:r>
      <w:r w:rsidRPr="00CF369C">
        <w:t xml:space="preserve"> e al 31 dicembre 2014, coincide con la posizione finanziaria netta così come definita dalla sopra citata comunicazione CONSOB</w:t>
      </w:r>
      <w:r w:rsidRPr="00E303E8">
        <w:t xml:space="preserve"> </w:t>
      </w:r>
    </w:p>
    <w:p w:rsidR="00613FE8" w:rsidRPr="00CF369C" w:rsidRDefault="00613FE8" w:rsidP="00923BDC">
      <w:pPr>
        <w:pStyle w:val="note"/>
        <w:tabs>
          <w:tab w:val="left" w:pos="9720"/>
        </w:tabs>
        <w:ind w:left="142"/>
      </w:pPr>
      <w:r>
        <w:t xml:space="preserve">Flusso di cassa della gestione tipica – dato da management </w:t>
      </w:r>
      <w:proofErr w:type="gramStart"/>
      <w:r>
        <w:t>reporting.</w:t>
      </w:r>
      <w:r w:rsidRPr="00CF369C">
        <w:t>.</w:t>
      </w:r>
      <w:proofErr w:type="gramEnd"/>
      <w:r w:rsidRPr="00CF369C">
        <w:t xml:space="preserve"> </w:t>
      </w:r>
    </w:p>
    <w:p w:rsidR="00613FE8" w:rsidRDefault="00613FE8" w:rsidP="00A0254F">
      <w:pPr>
        <w:pStyle w:val="note"/>
      </w:pPr>
    </w:p>
  </w:footnote>
  <w:footnote w:id="2">
    <w:p w:rsidR="00613FE8" w:rsidRDefault="00613FE8" w:rsidP="00162068">
      <w:pPr>
        <w:pStyle w:val="note"/>
      </w:pPr>
      <w:r w:rsidRPr="00162068">
        <w:rPr>
          <w:position w:val="0"/>
          <w:szCs w:val="14"/>
        </w:rPr>
        <w:footnoteRef/>
      </w:r>
      <w:r w:rsidRPr="00162068">
        <w:rPr>
          <w:position w:val="0"/>
          <w:szCs w:val="14"/>
        </w:rPr>
        <w:t xml:space="preserve"> </w:t>
      </w:r>
      <w:proofErr w:type="gramStart"/>
      <w:r w:rsidRPr="00162068">
        <w:rPr>
          <w:position w:val="0"/>
          <w:szCs w:val="14"/>
        </w:rPr>
        <w:t>dato</w:t>
      </w:r>
      <w:proofErr w:type="gramEnd"/>
      <w:r w:rsidRPr="00162068">
        <w:rPr>
          <w:position w:val="0"/>
          <w:szCs w:val="14"/>
        </w:rPr>
        <w:t xml:space="preserve"> da management reporting</w:t>
      </w:r>
      <w:r>
        <w:rPr>
          <w:position w:val="0"/>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E8" w:rsidRDefault="00613FE8">
    <w:pPr>
      <w:pStyle w:val="Intestazione"/>
    </w:pPr>
  </w:p>
  <w:p w:rsidR="00613FE8" w:rsidRDefault="00613F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E8" w:rsidRDefault="00613FE8">
    <w:pPr>
      <w:pStyle w:val="Intestazione"/>
      <w:ind w:left="-851"/>
      <w:jc w:val="center"/>
    </w:pPr>
    <w:r>
      <w:rPr>
        <w:noProof/>
        <w:lang w:eastAsia="it-IT"/>
      </w:rPr>
      <w:drawing>
        <wp:inline distT="0" distB="0" distL="0" distR="0" wp14:anchorId="18D826BD" wp14:editId="3752D735">
          <wp:extent cx="7543800" cy="82486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24865"/>
                  </a:xfrm>
                  <a:prstGeom prst="rect">
                    <a:avLst/>
                  </a:prstGeom>
                  <a:solidFill>
                    <a:srgbClr val="FFFFFF"/>
                  </a:solidFill>
                  <a:ln>
                    <a:noFill/>
                  </a:ln>
                </pic:spPr>
              </pic:pic>
            </a:graphicData>
          </a:graphic>
        </wp:inline>
      </w:drawing>
    </w:r>
  </w:p>
  <w:p w:rsidR="00613FE8" w:rsidRDefault="00613F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E8" w:rsidRDefault="00613FE8">
    <w:pPr>
      <w:pStyle w:val="Intestazione"/>
      <w:tabs>
        <w:tab w:val="left" w:pos="4111"/>
      </w:tabs>
      <w:ind w:left="-851"/>
      <w:jc w:val="center"/>
    </w:pPr>
    <w:r>
      <w:rPr>
        <w:noProof/>
        <w:lang w:eastAsia="it-IT"/>
      </w:rPr>
      <w:drawing>
        <wp:anchor distT="0" distB="0" distL="0" distR="0" simplePos="0" relativeHeight="251657728" behindDoc="0" locked="0" layoutInCell="1" allowOverlap="1" wp14:anchorId="0016EF17" wp14:editId="0ADEE8E0">
          <wp:simplePos x="0" y="0"/>
          <wp:positionH relativeFrom="column">
            <wp:align>center</wp:align>
          </wp:positionH>
          <wp:positionV relativeFrom="paragraph">
            <wp:posOffset>0</wp:posOffset>
          </wp:positionV>
          <wp:extent cx="7019290" cy="996950"/>
          <wp:effectExtent l="0" t="0" r="0" b="0"/>
          <wp:wrapTopAndBottom/>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290" cy="996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4CEA"/>
    <w:multiLevelType w:val="hybridMultilevel"/>
    <w:tmpl w:val="C060BD94"/>
    <w:lvl w:ilvl="0" w:tplc="18EA4AB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7C100F"/>
    <w:multiLevelType w:val="hybridMultilevel"/>
    <w:tmpl w:val="CF54683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DC616B0"/>
    <w:multiLevelType w:val="hybridMultilevel"/>
    <w:tmpl w:val="7666845C"/>
    <w:lvl w:ilvl="0" w:tplc="4430683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B162EE"/>
    <w:multiLevelType w:val="multilevel"/>
    <w:tmpl w:val="1BDE8D8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A335F8C"/>
    <w:multiLevelType w:val="hybridMultilevel"/>
    <w:tmpl w:val="A9EE940A"/>
    <w:lvl w:ilvl="0" w:tplc="98DCA202">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07E2DB8"/>
    <w:multiLevelType w:val="hybridMultilevel"/>
    <w:tmpl w:val="931C01AA"/>
    <w:lvl w:ilvl="0" w:tplc="DA62A3AC">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6">
    <w:nsid w:val="293B001A"/>
    <w:multiLevelType w:val="hybridMultilevel"/>
    <w:tmpl w:val="881296C0"/>
    <w:lvl w:ilvl="0" w:tplc="04100017">
      <w:start w:val="1"/>
      <w:numFmt w:val="lowerLetter"/>
      <w:lvlText w:val="%1)"/>
      <w:lvlJc w:val="left"/>
      <w:pPr>
        <w:ind w:left="1080" w:hanging="72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37212C"/>
    <w:multiLevelType w:val="hybridMultilevel"/>
    <w:tmpl w:val="764A8588"/>
    <w:lvl w:ilvl="0" w:tplc="18EA4AB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167FDD"/>
    <w:multiLevelType w:val="hybridMultilevel"/>
    <w:tmpl w:val="A6267FD4"/>
    <w:lvl w:ilvl="0" w:tplc="2D78A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AE44EB"/>
    <w:multiLevelType w:val="multilevel"/>
    <w:tmpl w:val="7B4472F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38D50CEE"/>
    <w:multiLevelType w:val="hybridMultilevel"/>
    <w:tmpl w:val="DE003DA2"/>
    <w:lvl w:ilvl="0" w:tplc="3AECC9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AD4C52"/>
    <w:multiLevelType w:val="hybridMultilevel"/>
    <w:tmpl w:val="EB76C29C"/>
    <w:lvl w:ilvl="0" w:tplc="6B7E3C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524272E"/>
    <w:multiLevelType w:val="hybridMultilevel"/>
    <w:tmpl w:val="64A0A922"/>
    <w:lvl w:ilvl="0" w:tplc="74CAFB76">
      <w:start w:val="1"/>
      <w:numFmt w:val="bullet"/>
      <w:lvlText w:val="­"/>
      <w:lvlJc w:val="left"/>
      <w:pPr>
        <w:tabs>
          <w:tab w:val="num" w:pos="720"/>
        </w:tabs>
        <w:ind w:left="720" w:hanging="360"/>
      </w:pPr>
      <w:rPr>
        <w:rFonts w:ascii="Courier New" w:hAnsi="Courier New" w:hint="default"/>
      </w:rPr>
    </w:lvl>
    <w:lvl w:ilvl="1" w:tplc="AD7AD46A">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3A30AA16" w:tentative="1">
      <w:start w:val="1"/>
      <w:numFmt w:val="bullet"/>
      <w:lvlText w:val=""/>
      <w:lvlJc w:val="left"/>
      <w:pPr>
        <w:tabs>
          <w:tab w:val="num" w:pos="2880"/>
        </w:tabs>
        <w:ind w:left="2880" w:hanging="360"/>
      </w:pPr>
      <w:rPr>
        <w:rFonts w:ascii="Symbol" w:hAnsi="Symbol" w:hint="default"/>
      </w:rPr>
    </w:lvl>
    <w:lvl w:ilvl="4" w:tplc="5C964800" w:tentative="1">
      <w:start w:val="1"/>
      <w:numFmt w:val="bullet"/>
      <w:lvlText w:val="o"/>
      <w:lvlJc w:val="left"/>
      <w:pPr>
        <w:tabs>
          <w:tab w:val="num" w:pos="3600"/>
        </w:tabs>
        <w:ind w:left="3600" w:hanging="360"/>
      </w:pPr>
      <w:rPr>
        <w:rFonts w:ascii="Courier New" w:hAnsi="Courier New" w:cs="Courier New" w:hint="default"/>
      </w:rPr>
    </w:lvl>
    <w:lvl w:ilvl="5" w:tplc="1DAE195C"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8622082"/>
    <w:multiLevelType w:val="hybridMultilevel"/>
    <w:tmpl w:val="F3362008"/>
    <w:lvl w:ilvl="0" w:tplc="2D78A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B357F59"/>
    <w:multiLevelType w:val="hybridMultilevel"/>
    <w:tmpl w:val="C5504BBE"/>
    <w:lvl w:ilvl="0" w:tplc="991C2E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C2157A6"/>
    <w:multiLevelType w:val="hybridMultilevel"/>
    <w:tmpl w:val="E872F708"/>
    <w:lvl w:ilvl="0" w:tplc="9730B8F6">
      <w:start w:val="1"/>
      <w:numFmt w:val="lowerRoman"/>
      <w:lvlText w:val="(%1)"/>
      <w:lvlJc w:val="left"/>
      <w:pPr>
        <w:tabs>
          <w:tab w:val="num" w:pos="720"/>
        </w:tabs>
        <w:ind w:left="720" w:hanging="720"/>
      </w:pPr>
      <w:rPr>
        <w:rFonts w:hint="default"/>
        <w:i w:val="0"/>
        <w:iCs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4CCE2D4C"/>
    <w:multiLevelType w:val="hybridMultilevel"/>
    <w:tmpl w:val="07D024D6"/>
    <w:lvl w:ilvl="0" w:tplc="04100001">
      <w:start w:val="1"/>
      <w:numFmt w:val="bullet"/>
      <w:lvlText w:val=""/>
      <w:lvlJc w:val="left"/>
      <w:pPr>
        <w:tabs>
          <w:tab w:val="num" w:pos="1430"/>
        </w:tabs>
        <w:ind w:left="1430" w:hanging="360"/>
      </w:pPr>
      <w:rPr>
        <w:rFonts w:ascii="Symbol" w:hAnsi="Symbol" w:hint="default"/>
      </w:rPr>
    </w:lvl>
    <w:lvl w:ilvl="1" w:tplc="04100003">
      <w:start w:val="1"/>
      <w:numFmt w:val="bullet"/>
      <w:lvlText w:val="o"/>
      <w:lvlJc w:val="left"/>
      <w:pPr>
        <w:tabs>
          <w:tab w:val="num" w:pos="2150"/>
        </w:tabs>
        <w:ind w:left="2150" w:hanging="360"/>
      </w:pPr>
      <w:rPr>
        <w:rFonts w:ascii="Courier New" w:hAnsi="Courier New" w:cs="Courier New" w:hint="default"/>
      </w:rPr>
    </w:lvl>
    <w:lvl w:ilvl="2" w:tplc="04100005">
      <w:start w:val="1"/>
      <w:numFmt w:val="bullet"/>
      <w:lvlText w:val=""/>
      <w:lvlJc w:val="left"/>
      <w:pPr>
        <w:tabs>
          <w:tab w:val="num" w:pos="2870"/>
        </w:tabs>
        <w:ind w:left="2870" w:hanging="360"/>
      </w:pPr>
      <w:rPr>
        <w:rFonts w:ascii="Wingdings" w:hAnsi="Wingdings" w:hint="default"/>
      </w:rPr>
    </w:lvl>
    <w:lvl w:ilvl="3" w:tplc="04100001">
      <w:start w:val="1"/>
      <w:numFmt w:val="bullet"/>
      <w:lvlText w:val=""/>
      <w:lvlJc w:val="left"/>
      <w:pPr>
        <w:tabs>
          <w:tab w:val="num" w:pos="3590"/>
        </w:tabs>
        <w:ind w:left="3590" w:hanging="360"/>
      </w:pPr>
      <w:rPr>
        <w:rFonts w:ascii="Symbol" w:hAnsi="Symbol" w:hint="default"/>
      </w:rPr>
    </w:lvl>
    <w:lvl w:ilvl="4" w:tplc="04100003">
      <w:start w:val="1"/>
      <w:numFmt w:val="bullet"/>
      <w:lvlText w:val="o"/>
      <w:lvlJc w:val="left"/>
      <w:pPr>
        <w:tabs>
          <w:tab w:val="num" w:pos="4310"/>
        </w:tabs>
        <w:ind w:left="4310" w:hanging="360"/>
      </w:pPr>
      <w:rPr>
        <w:rFonts w:ascii="Courier New" w:hAnsi="Courier New" w:cs="Courier New" w:hint="default"/>
      </w:rPr>
    </w:lvl>
    <w:lvl w:ilvl="5" w:tplc="04100005">
      <w:start w:val="1"/>
      <w:numFmt w:val="bullet"/>
      <w:lvlText w:val=""/>
      <w:lvlJc w:val="left"/>
      <w:pPr>
        <w:tabs>
          <w:tab w:val="num" w:pos="5030"/>
        </w:tabs>
        <w:ind w:left="5030" w:hanging="360"/>
      </w:pPr>
      <w:rPr>
        <w:rFonts w:ascii="Wingdings" w:hAnsi="Wingdings" w:hint="default"/>
      </w:rPr>
    </w:lvl>
    <w:lvl w:ilvl="6" w:tplc="04100001">
      <w:start w:val="1"/>
      <w:numFmt w:val="bullet"/>
      <w:lvlText w:val=""/>
      <w:lvlJc w:val="left"/>
      <w:pPr>
        <w:tabs>
          <w:tab w:val="num" w:pos="5750"/>
        </w:tabs>
        <w:ind w:left="5750" w:hanging="360"/>
      </w:pPr>
      <w:rPr>
        <w:rFonts w:ascii="Symbol" w:hAnsi="Symbol" w:hint="default"/>
      </w:rPr>
    </w:lvl>
    <w:lvl w:ilvl="7" w:tplc="04100003">
      <w:start w:val="1"/>
      <w:numFmt w:val="bullet"/>
      <w:lvlText w:val="o"/>
      <w:lvlJc w:val="left"/>
      <w:pPr>
        <w:tabs>
          <w:tab w:val="num" w:pos="6470"/>
        </w:tabs>
        <w:ind w:left="6470" w:hanging="360"/>
      </w:pPr>
      <w:rPr>
        <w:rFonts w:ascii="Courier New" w:hAnsi="Courier New" w:cs="Courier New" w:hint="default"/>
      </w:rPr>
    </w:lvl>
    <w:lvl w:ilvl="8" w:tplc="04100005">
      <w:start w:val="1"/>
      <w:numFmt w:val="bullet"/>
      <w:lvlText w:val=""/>
      <w:lvlJc w:val="left"/>
      <w:pPr>
        <w:tabs>
          <w:tab w:val="num" w:pos="7190"/>
        </w:tabs>
        <w:ind w:left="7190" w:hanging="360"/>
      </w:pPr>
      <w:rPr>
        <w:rFonts w:ascii="Wingdings" w:hAnsi="Wingdings" w:hint="default"/>
      </w:rPr>
    </w:lvl>
  </w:abstractNum>
  <w:abstractNum w:abstractNumId="17">
    <w:nsid w:val="58A60E0C"/>
    <w:multiLevelType w:val="hybridMultilevel"/>
    <w:tmpl w:val="3BD6075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88D3F27"/>
    <w:multiLevelType w:val="hybridMultilevel"/>
    <w:tmpl w:val="1974DBE2"/>
    <w:lvl w:ilvl="0" w:tplc="2D78A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AB863C6"/>
    <w:multiLevelType w:val="hybridMultilevel"/>
    <w:tmpl w:val="0B7CE91A"/>
    <w:lvl w:ilvl="0" w:tplc="8480C5F6">
      <w:start w:val="1"/>
      <w:numFmt w:val="bullet"/>
      <w:pStyle w:val="puntato"/>
      <w:lvlText w:val=""/>
      <w:lvlJc w:val="left"/>
      <w:pPr>
        <w:tabs>
          <w:tab w:val="num" w:pos="360"/>
        </w:tabs>
        <w:ind w:left="360" w:hanging="360"/>
      </w:pPr>
      <w:rPr>
        <w:rFonts w:ascii="Symbol" w:hAnsi="Symbol" w:hint="default"/>
      </w:rPr>
    </w:lvl>
    <w:lvl w:ilvl="1" w:tplc="608C5C5E">
      <w:start w:val="1"/>
      <w:numFmt w:val="bullet"/>
      <w:lvlText w:val=""/>
      <w:lvlJc w:val="left"/>
      <w:pPr>
        <w:tabs>
          <w:tab w:val="num" w:pos="2070"/>
        </w:tabs>
        <w:ind w:left="2070" w:hanging="360"/>
      </w:pPr>
      <w:rPr>
        <w:rFonts w:ascii="Symbol" w:hAnsi="Symbol" w:hint="default"/>
        <w:color w:val="auto"/>
      </w:rPr>
    </w:lvl>
    <w:lvl w:ilvl="2" w:tplc="04100005" w:tentative="1">
      <w:start w:val="1"/>
      <w:numFmt w:val="bullet"/>
      <w:lvlText w:val=""/>
      <w:lvlJc w:val="left"/>
      <w:pPr>
        <w:tabs>
          <w:tab w:val="num" w:pos="2790"/>
        </w:tabs>
        <w:ind w:left="2790" w:hanging="360"/>
      </w:pPr>
      <w:rPr>
        <w:rFonts w:ascii="Wingdings" w:hAnsi="Wingdings" w:hint="default"/>
      </w:rPr>
    </w:lvl>
    <w:lvl w:ilvl="3" w:tplc="04100001" w:tentative="1">
      <w:start w:val="1"/>
      <w:numFmt w:val="bullet"/>
      <w:lvlText w:val=""/>
      <w:lvlJc w:val="left"/>
      <w:pPr>
        <w:tabs>
          <w:tab w:val="num" w:pos="3510"/>
        </w:tabs>
        <w:ind w:left="3510" w:hanging="360"/>
      </w:pPr>
      <w:rPr>
        <w:rFonts w:ascii="Symbol" w:hAnsi="Symbol" w:hint="default"/>
      </w:rPr>
    </w:lvl>
    <w:lvl w:ilvl="4" w:tplc="04100003" w:tentative="1">
      <w:start w:val="1"/>
      <w:numFmt w:val="bullet"/>
      <w:lvlText w:val="o"/>
      <w:lvlJc w:val="left"/>
      <w:pPr>
        <w:tabs>
          <w:tab w:val="num" w:pos="4230"/>
        </w:tabs>
        <w:ind w:left="4230" w:hanging="360"/>
      </w:pPr>
      <w:rPr>
        <w:rFonts w:ascii="Courier New" w:hAnsi="Courier New" w:hint="default"/>
      </w:rPr>
    </w:lvl>
    <w:lvl w:ilvl="5" w:tplc="04100005" w:tentative="1">
      <w:start w:val="1"/>
      <w:numFmt w:val="bullet"/>
      <w:lvlText w:val=""/>
      <w:lvlJc w:val="left"/>
      <w:pPr>
        <w:tabs>
          <w:tab w:val="num" w:pos="4950"/>
        </w:tabs>
        <w:ind w:left="4950" w:hanging="360"/>
      </w:pPr>
      <w:rPr>
        <w:rFonts w:ascii="Wingdings" w:hAnsi="Wingdings" w:hint="default"/>
      </w:rPr>
    </w:lvl>
    <w:lvl w:ilvl="6" w:tplc="04100001" w:tentative="1">
      <w:start w:val="1"/>
      <w:numFmt w:val="bullet"/>
      <w:lvlText w:val=""/>
      <w:lvlJc w:val="left"/>
      <w:pPr>
        <w:tabs>
          <w:tab w:val="num" w:pos="5670"/>
        </w:tabs>
        <w:ind w:left="5670" w:hanging="360"/>
      </w:pPr>
      <w:rPr>
        <w:rFonts w:ascii="Symbol" w:hAnsi="Symbol" w:hint="default"/>
      </w:rPr>
    </w:lvl>
    <w:lvl w:ilvl="7" w:tplc="04100003" w:tentative="1">
      <w:start w:val="1"/>
      <w:numFmt w:val="bullet"/>
      <w:lvlText w:val="o"/>
      <w:lvlJc w:val="left"/>
      <w:pPr>
        <w:tabs>
          <w:tab w:val="num" w:pos="6390"/>
        </w:tabs>
        <w:ind w:left="6390" w:hanging="360"/>
      </w:pPr>
      <w:rPr>
        <w:rFonts w:ascii="Courier New" w:hAnsi="Courier New" w:hint="default"/>
      </w:rPr>
    </w:lvl>
    <w:lvl w:ilvl="8" w:tplc="04100005" w:tentative="1">
      <w:start w:val="1"/>
      <w:numFmt w:val="bullet"/>
      <w:lvlText w:val=""/>
      <w:lvlJc w:val="left"/>
      <w:pPr>
        <w:tabs>
          <w:tab w:val="num" w:pos="7110"/>
        </w:tabs>
        <w:ind w:left="7110" w:hanging="360"/>
      </w:pPr>
      <w:rPr>
        <w:rFonts w:ascii="Wingdings" w:hAnsi="Wingdings" w:hint="default"/>
      </w:rPr>
    </w:lvl>
  </w:abstractNum>
  <w:abstractNum w:abstractNumId="20">
    <w:nsid w:val="6D523F15"/>
    <w:multiLevelType w:val="hybridMultilevel"/>
    <w:tmpl w:val="CE7861C8"/>
    <w:lvl w:ilvl="0" w:tplc="04100001">
      <w:start w:val="1"/>
      <w:numFmt w:val="bullet"/>
      <w:lvlText w:val=""/>
      <w:lvlJc w:val="left"/>
      <w:pPr>
        <w:ind w:left="1428" w:hanging="360"/>
      </w:pPr>
      <w:rPr>
        <w:rFonts w:ascii="Symbol" w:hAnsi="Symbol" w:hint="default"/>
      </w:rPr>
    </w:lvl>
    <w:lvl w:ilvl="1" w:tplc="B712C0F8">
      <w:numFmt w:val="bullet"/>
      <w:lvlText w:val="-"/>
      <w:lvlJc w:val="left"/>
      <w:pPr>
        <w:ind w:left="3564" w:hanging="1776"/>
      </w:pPr>
      <w:rPr>
        <w:rFonts w:asciiTheme="minorHAnsi" w:eastAsiaTheme="minorHAnsi" w:hAnsiTheme="minorHAnsi" w:cstheme="minorBidi"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6E9060AE"/>
    <w:multiLevelType w:val="hybridMultilevel"/>
    <w:tmpl w:val="D88AA354"/>
    <w:lvl w:ilvl="0" w:tplc="92DA330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205741B"/>
    <w:multiLevelType w:val="hybridMultilevel"/>
    <w:tmpl w:val="8140D292"/>
    <w:lvl w:ilvl="0" w:tplc="E1507AAE">
      <w:start w:val="1"/>
      <w:numFmt w:val="lowerLetter"/>
      <w:lvlText w:val="%1)"/>
      <w:lvlJc w:val="left"/>
      <w:pPr>
        <w:ind w:left="720" w:hanging="72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75BF7899"/>
    <w:multiLevelType w:val="hybridMultilevel"/>
    <w:tmpl w:val="D3748F1C"/>
    <w:lvl w:ilvl="0" w:tplc="2D78A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E5837A2"/>
    <w:multiLevelType w:val="hybridMultilevel"/>
    <w:tmpl w:val="D0E20FE4"/>
    <w:lvl w:ilvl="0" w:tplc="3D5682B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4"/>
  </w:num>
  <w:num w:numId="4">
    <w:abstractNumId w:val="16"/>
  </w:num>
  <w:num w:numId="5">
    <w:abstractNumId w:val="23"/>
  </w:num>
  <w:num w:numId="6">
    <w:abstractNumId w:val="13"/>
  </w:num>
  <w:num w:numId="7">
    <w:abstractNumId w:val="8"/>
  </w:num>
  <w:num w:numId="8">
    <w:abstractNumId w:val="18"/>
  </w:num>
  <w:num w:numId="9">
    <w:abstractNumId w:val="1"/>
  </w:num>
  <w:num w:numId="10">
    <w:abstractNumId w:val="11"/>
  </w:num>
  <w:num w:numId="11">
    <w:abstractNumId w:val="10"/>
  </w:num>
  <w:num w:numId="12">
    <w:abstractNumId w:val="22"/>
  </w:num>
  <w:num w:numId="13">
    <w:abstractNumId w:val="21"/>
  </w:num>
  <w:num w:numId="14">
    <w:abstractNumId w:val="6"/>
  </w:num>
  <w:num w:numId="15">
    <w:abstractNumId w:val="9"/>
  </w:num>
  <w:num w:numId="16">
    <w:abstractNumId w:val="3"/>
  </w:num>
  <w:num w:numId="17">
    <w:abstractNumId w:val="17"/>
  </w:num>
  <w:num w:numId="18">
    <w:abstractNumId w:val="20"/>
  </w:num>
  <w:num w:numId="19">
    <w:abstractNumId w:val="7"/>
  </w:num>
  <w:num w:numId="20">
    <w:abstractNumId w:val="0"/>
  </w:num>
  <w:num w:numId="21">
    <w:abstractNumId w:val="19"/>
  </w:num>
  <w:num w:numId="22">
    <w:abstractNumId w:val="12"/>
  </w:num>
  <w:num w:numId="23">
    <w:abstractNumId w:val="14"/>
  </w:num>
  <w:num w:numId="24">
    <w:abstractNumId w:val="15"/>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38"/>
    <w:rsid w:val="00000875"/>
    <w:rsid w:val="00000F23"/>
    <w:rsid w:val="0000189F"/>
    <w:rsid w:val="0000317F"/>
    <w:rsid w:val="00003B39"/>
    <w:rsid w:val="00003BDF"/>
    <w:rsid w:val="00006D1C"/>
    <w:rsid w:val="00007B06"/>
    <w:rsid w:val="00010F49"/>
    <w:rsid w:val="00011A51"/>
    <w:rsid w:val="00014EE1"/>
    <w:rsid w:val="0002070A"/>
    <w:rsid w:val="00023563"/>
    <w:rsid w:val="00023E97"/>
    <w:rsid w:val="000260DD"/>
    <w:rsid w:val="00027A97"/>
    <w:rsid w:val="00027B26"/>
    <w:rsid w:val="000321EA"/>
    <w:rsid w:val="000328C8"/>
    <w:rsid w:val="00032E27"/>
    <w:rsid w:val="000360EC"/>
    <w:rsid w:val="00036102"/>
    <w:rsid w:val="00036FE9"/>
    <w:rsid w:val="0004008E"/>
    <w:rsid w:val="00040E75"/>
    <w:rsid w:val="000415DC"/>
    <w:rsid w:val="00045F53"/>
    <w:rsid w:val="00052555"/>
    <w:rsid w:val="00052708"/>
    <w:rsid w:val="00053FB0"/>
    <w:rsid w:val="00053FC8"/>
    <w:rsid w:val="00054173"/>
    <w:rsid w:val="000554F6"/>
    <w:rsid w:val="00055A14"/>
    <w:rsid w:val="00055EAA"/>
    <w:rsid w:val="00063ED5"/>
    <w:rsid w:val="00064405"/>
    <w:rsid w:val="00066477"/>
    <w:rsid w:val="00067521"/>
    <w:rsid w:val="00073D3C"/>
    <w:rsid w:val="000778F8"/>
    <w:rsid w:val="00077A22"/>
    <w:rsid w:val="0008071A"/>
    <w:rsid w:val="00081F12"/>
    <w:rsid w:val="000823BD"/>
    <w:rsid w:val="0008264E"/>
    <w:rsid w:val="00082DAF"/>
    <w:rsid w:val="000831EF"/>
    <w:rsid w:val="000859A6"/>
    <w:rsid w:val="000926CB"/>
    <w:rsid w:val="00092FCB"/>
    <w:rsid w:val="0009360A"/>
    <w:rsid w:val="00094308"/>
    <w:rsid w:val="00095062"/>
    <w:rsid w:val="00096DAE"/>
    <w:rsid w:val="000A124A"/>
    <w:rsid w:val="000A22B2"/>
    <w:rsid w:val="000A30A9"/>
    <w:rsid w:val="000A3D3E"/>
    <w:rsid w:val="000A4100"/>
    <w:rsid w:val="000A62E4"/>
    <w:rsid w:val="000B08EE"/>
    <w:rsid w:val="000B29C8"/>
    <w:rsid w:val="000B4162"/>
    <w:rsid w:val="000C03D3"/>
    <w:rsid w:val="000C19E5"/>
    <w:rsid w:val="000C5036"/>
    <w:rsid w:val="000D29C1"/>
    <w:rsid w:val="000D2AA2"/>
    <w:rsid w:val="000D626C"/>
    <w:rsid w:val="000D657C"/>
    <w:rsid w:val="000D65AF"/>
    <w:rsid w:val="000E0696"/>
    <w:rsid w:val="000E25DC"/>
    <w:rsid w:val="000E398D"/>
    <w:rsid w:val="000E3A9A"/>
    <w:rsid w:val="000E3D26"/>
    <w:rsid w:val="000E5D87"/>
    <w:rsid w:val="000E7E77"/>
    <w:rsid w:val="000F115B"/>
    <w:rsid w:val="000F1C86"/>
    <w:rsid w:val="000F221B"/>
    <w:rsid w:val="000F6068"/>
    <w:rsid w:val="000F6B2C"/>
    <w:rsid w:val="000F7274"/>
    <w:rsid w:val="000F74CA"/>
    <w:rsid w:val="0010395C"/>
    <w:rsid w:val="001049DE"/>
    <w:rsid w:val="00104A8F"/>
    <w:rsid w:val="00111BF3"/>
    <w:rsid w:val="00115284"/>
    <w:rsid w:val="0011553D"/>
    <w:rsid w:val="00115597"/>
    <w:rsid w:val="00116EF2"/>
    <w:rsid w:val="00117B2D"/>
    <w:rsid w:val="00120E15"/>
    <w:rsid w:val="00121015"/>
    <w:rsid w:val="00121F57"/>
    <w:rsid w:val="00123475"/>
    <w:rsid w:val="0012567E"/>
    <w:rsid w:val="001259E3"/>
    <w:rsid w:val="001311D9"/>
    <w:rsid w:val="001320CE"/>
    <w:rsid w:val="00133F69"/>
    <w:rsid w:val="001349D9"/>
    <w:rsid w:val="001367F3"/>
    <w:rsid w:val="0014010A"/>
    <w:rsid w:val="0014072F"/>
    <w:rsid w:val="001427F2"/>
    <w:rsid w:val="001441C0"/>
    <w:rsid w:val="0014496F"/>
    <w:rsid w:val="00144BEB"/>
    <w:rsid w:val="00145EE1"/>
    <w:rsid w:val="001462CC"/>
    <w:rsid w:val="00146F9A"/>
    <w:rsid w:val="001535A7"/>
    <w:rsid w:val="0015408B"/>
    <w:rsid w:val="00155C51"/>
    <w:rsid w:val="001572AD"/>
    <w:rsid w:val="00160D2B"/>
    <w:rsid w:val="00162068"/>
    <w:rsid w:val="00162C11"/>
    <w:rsid w:val="001633D8"/>
    <w:rsid w:val="001659CC"/>
    <w:rsid w:val="00166A20"/>
    <w:rsid w:val="001709A9"/>
    <w:rsid w:val="001726D0"/>
    <w:rsid w:val="00173015"/>
    <w:rsid w:val="0017371F"/>
    <w:rsid w:val="0017752B"/>
    <w:rsid w:val="0018276C"/>
    <w:rsid w:val="00185B5F"/>
    <w:rsid w:val="00187B78"/>
    <w:rsid w:val="00190337"/>
    <w:rsid w:val="00190709"/>
    <w:rsid w:val="001912B6"/>
    <w:rsid w:val="0019250F"/>
    <w:rsid w:val="00192DDE"/>
    <w:rsid w:val="001946D6"/>
    <w:rsid w:val="00197E65"/>
    <w:rsid w:val="001A0228"/>
    <w:rsid w:val="001A45E4"/>
    <w:rsid w:val="001A4E05"/>
    <w:rsid w:val="001A5AC7"/>
    <w:rsid w:val="001A7F3E"/>
    <w:rsid w:val="001B0291"/>
    <w:rsid w:val="001B4470"/>
    <w:rsid w:val="001B4D08"/>
    <w:rsid w:val="001C0B66"/>
    <w:rsid w:val="001C56DE"/>
    <w:rsid w:val="001D00FD"/>
    <w:rsid w:val="001D0938"/>
    <w:rsid w:val="001D1CE3"/>
    <w:rsid w:val="001D262D"/>
    <w:rsid w:val="001D294D"/>
    <w:rsid w:val="001D3239"/>
    <w:rsid w:val="001D575D"/>
    <w:rsid w:val="001D5F5D"/>
    <w:rsid w:val="001D65BD"/>
    <w:rsid w:val="001D7A7C"/>
    <w:rsid w:val="001E0095"/>
    <w:rsid w:val="001E0636"/>
    <w:rsid w:val="001E1398"/>
    <w:rsid w:val="001E6534"/>
    <w:rsid w:val="001E6620"/>
    <w:rsid w:val="001E7CED"/>
    <w:rsid w:val="001F343E"/>
    <w:rsid w:val="001F45FC"/>
    <w:rsid w:val="001F641B"/>
    <w:rsid w:val="0020069C"/>
    <w:rsid w:val="0020160F"/>
    <w:rsid w:val="00203EC2"/>
    <w:rsid w:val="002044D0"/>
    <w:rsid w:val="00205DC8"/>
    <w:rsid w:val="00207640"/>
    <w:rsid w:val="002106BF"/>
    <w:rsid w:val="00211D96"/>
    <w:rsid w:val="00212068"/>
    <w:rsid w:val="002124A5"/>
    <w:rsid w:val="002145D7"/>
    <w:rsid w:val="0021545C"/>
    <w:rsid w:val="0022119F"/>
    <w:rsid w:val="00221241"/>
    <w:rsid w:val="002221AB"/>
    <w:rsid w:val="00222BCF"/>
    <w:rsid w:val="002246CF"/>
    <w:rsid w:val="00224A7B"/>
    <w:rsid w:val="00226771"/>
    <w:rsid w:val="00226F1A"/>
    <w:rsid w:val="0023064A"/>
    <w:rsid w:val="002316C7"/>
    <w:rsid w:val="00234738"/>
    <w:rsid w:val="00240945"/>
    <w:rsid w:val="00242BEC"/>
    <w:rsid w:val="002439FF"/>
    <w:rsid w:val="00245610"/>
    <w:rsid w:val="00245C6C"/>
    <w:rsid w:val="00245F46"/>
    <w:rsid w:val="00252C1C"/>
    <w:rsid w:val="00254F78"/>
    <w:rsid w:val="00260F30"/>
    <w:rsid w:val="0026254B"/>
    <w:rsid w:val="00262C02"/>
    <w:rsid w:val="00265108"/>
    <w:rsid w:val="00265899"/>
    <w:rsid w:val="002658AC"/>
    <w:rsid w:val="00267889"/>
    <w:rsid w:val="00267FF6"/>
    <w:rsid w:val="00270A48"/>
    <w:rsid w:val="0027570E"/>
    <w:rsid w:val="00275E4B"/>
    <w:rsid w:val="00276883"/>
    <w:rsid w:val="0028040C"/>
    <w:rsid w:val="00280EC5"/>
    <w:rsid w:val="0028476F"/>
    <w:rsid w:val="00285CAC"/>
    <w:rsid w:val="00285F41"/>
    <w:rsid w:val="00290800"/>
    <w:rsid w:val="00290CC5"/>
    <w:rsid w:val="00292445"/>
    <w:rsid w:val="00294C95"/>
    <w:rsid w:val="00295208"/>
    <w:rsid w:val="00297CEB"/>
    <w:rsid w:val="002A0B51"/>
    <w:rsid w:val="002A29F8"/>
    <w:rsid w:val="002A35A8"/>
    <w:rsid w:val="002A6D71"/>
    <w:rsid w:val="002A7EC6"/>
    <w:rsid w:val="002B000E"/>
    <w:rsid w:val="002B2E56"/>
    <w:rsid w:val="002B5505"/>
    <w:rsid w:val="002B64D7"/>
    <w:rsid w:val="002B6725"/>
    <w:rsid w:val="002C4B60"/>
    <w:rsid w:val="002C4E1E"/>
    <w:rsid w:val="002C57A2"/>
    <w:rsid w:val="002C68A5"/>
    <w:rsid w:val="002C7528"/>
    <w:rsid w:val="002C7E15"/>
    <w:rsid w:val="002D1ABD"/>
    <w:rsid w:val="002D378A"/>
    <w:rsid w:val="002D5E51"/>
    <w:rsid w:val="002D6140"/>
    <w:rsid w:val="002E036A"/>
    <w:rsid w:val="002E7EE9"/>
    <w:rsid w:val="002F1AA9"/>
    <w:rsid w:val="002F26A3"/>
    <w:rsid w:val="002F2E69"/>
    <w:rsid w:val="002F331E"/>
    <w:rsid w:val="002F4D43"/>
    <w:rsid w:val="003028A3"/>
    <w:rsid w:val="003031FF"/>
    <w:rsid w:val="00304BCC"/>
    <w:rsid w:val="00304EF4"/>
    <w:rsid w:val="00306F3B"/>
    <w:rsid w:val="00307F98"/>
    <w:rsid w:val="003105E7"/>
    <w:rsid w:val="00310D70"/>
    <w:rsid w:val="00311603"/>
    <w:rsid w:val="00311FC6"/>
    <w:rsid w:val="00312F93"/>
    <w:rsid w:val="00315214"/>
    <w:rsid w:val="00316EE0"/>
    <w:rsid w:val="00317923"/>
    <w:rsid w:val="0032149F"/>
    <w:rsid w:val="00324EF4"/>
    <w:rsid w:val="00326D8A"/>
    <w:rsid w:val="0033151C"/>
    <w:rsid w:val="00331D2E"/>
    <w:rsid w:val="003330A2"/>
    <w:rsid w:val="00333709"/>
    <w:rsid w:val="00333CD3"/>
    <w:rsid w:val="00333F42"/>
    <w:rsid w:val="003340BD"/>
    <w:rsid w:val="003378A9"/>
    <w:rsid w:val="003403A6"/>
    <w:rsid w:val="00341309"/>
    <w:rsid w:val="00341BA2"/>
    <w:rsid w:val="00344579"/>
    <w:rsid w:val="003445E7"/>
    <w:rsid w:val="003448FA"/>
    <w:rsid w:val="00344E3A"/>
    <w:rsid w:val="00344E85"/>
    <w:rsid w:val="003465A2"/>
    <w:rsid w:val="00346E41"/>
    <w:rsid w:val="00347DFA"/>
    <w:rsid w:val="00351A87"/>
    <w:rsid w:val="003551F2"/>
    <w:rsid w:val="00355F01"/>
    <w:rsid w:val="003564D6"/>
    <w:rsid w:val="00361732"/>
    <w:rsid w:val="00361879"/>
    <w:rsid w:val="00363851"/>
    <w:rsid w:val="00363E3F"/>
    <w:rsid w:val="00363F87"/>
    <w:rsid w:val="00364AD8"/>
    <w:rsid w:val="00370A99"/>
    <w:rsid w:val="00371395"/>
    <w:rsid w:val="00372ABD"/>
    <w:rsid w:val="0037304B"/>
    <w:rsid w:val="0037335D"/>
    <w:rsid w:val="0037591F"/>
    <w:rsid w:val="0037683D"/>
    <w:rsid w:val="0038192D"/>
    <w:rsid w:val="00384302"/>
    <w:rsid w:val="00386FAF"/>
    <w:rsid w:val="00391210"/>
    <w:rsid w:val="003924AC"/>
    <w:rsid w:val="00392B22"/>
    <w:rsid w:val="0039614C"/>
    <w:rsid w:val="003A1349"/>
    <w:rsid w:val="003A37BE"/>
    <w:rsid w:val="003A3BF1"/>
    <w:rsid w:val="003A4463"/>
    <w:rsid w:val="003A7A1E"/>
    <w:rsid w:val="003B46FD"/>
    <w:rsid w:val="003B5DF3"/>
    <w:rsid w:val="003C147A"/>
    <w:rsid w:val="003C2429"/>
    <w:rsid w:val="003C28AC"/>
    <w:rsid w:val="003C2B9C"/>
    <w:rsid w:val="003C37B9"/>
    <w:rsid w:val="003C3EEC"/>
    <w:rsid w:val="003D3ECB"/>
    <w:rsid w:val="003D4700"/>
    <w:rsid w:val="003D4FA7"/>
    <w:rsid w:val="003D55CE"/>
    <w:rsid w:val="003D6095"/>
    <w:rsid w:val="003D68C6"/>
    <w:rsid w:val="003E18E6"/>
    <w:rsid w:val="003E69BA"/>
    <w:rsid w:val="003F04C0"/>
    <w:rsid w:val="003F1283"/>
    <w:rsid w:val="003F1E68"/>
    <w:rsid w:val="003F1F3E"/>
    <w:rsid w:val="003F396A"/>
    <w:rsid w:val="003F3F79"/>
    <w:rsid w:val="003F4EC0"/>
    <w:rsid w:val="003F740A"/>
    <w:rsid w:val="003F751E"/>
    <w:rsid w:val="003F7994"/>
    <w:rsid w:val="00400378"/>
    <w:rsid w:val="0040154C"/>
    <w:rsid w:val="0040510D"/>
    <w:rsid w:val="00405C39"/>
    <w:rsid w:val="00406414"/>
    <w:rsid w:val="0041033C"/>
    <w:rsid w:val="00411285"/>
    <w:rsid w:val="00412242"/>
    <w:rsid w:val="00413A52"/>
    <w:rsid w:val="00414517"/>
    <w:rsid w:val="00414583"/>
    <w:rsid w:val="004208CA"/>
    <w:rsid w:val="00421EEC"/>
    <w:rsid w:val="004220E9"/>
    <w:rsid w:val="0042499B"/>
    <w:rsid w:val="00424D3A"/>
    <w:rsid w:val="004268FB"/>
    <w:rsid w:val="00426BC4"/>
    <w:rsid w:val="00427DDB"/>
    <w:rsid w:val="00432D1F"/>
    <w:rsid w:val="004338D1"/>
    <w:rsid w:val="00434B7A"/>
    <w:rsid w:val="00435A27"/>
    <w:rsid w:val="00436C95"/>
    <w:rsid w:val="00440244"/>
    <w:rsid w:val="0044184F"/>
    <w:rsid w:val="00445504"/>
    <w:rsid w:val="0044676A"/>
    <w:rsid w:val="00450711"/>
    <w:rsid w:val="00450F59"/>
    <w:rsid w:val="00453071"/>
    <w:rsid w:val="00456302"/>
    <w:rsid w:val="00456FB2"/>
    <w:rsid w:val="00462BDD"/>
    <w:rsid w:val="00463463"/>
    <w:rsid w:val="004639DA"/>
    <w:rsid w:val="0046507E"/>
    <w:rsid w:val="00465896"/>
    <w:rsid w:val="004658C6"/>
    <w:rsid w:val="00465E05"/>
    <w:rsid w:val="00466125"/>
    <w:rsid w:val="00466F9D"/>
    <w:rsid w:val="00473E45"/>
    <w:rsid w:val="00474911"/>
    <w:rsid w:val="00474974"/>
    <w:rsid w:val="00474E83"/>
    <w:rsid w:val="00477323"/>
    <w:rsid w:val="0048039B"/>
    <w:rsid w:val="0048097F"/>
    <w:rsid w:val="004817E2"/>
    <w:rsid w:val="004822E2"/>
    <w:rsid w:val="00491DB0"/>
    <w:rsid w:val="004931F7"/>
    <w:rsid w:val="004948A5"/>
    <w:rsid w:val="004954ED"/>
    <w:rsid w:val="00495C03"/>
    <w:rsid w:val="00496486"/>
    <w:rsid w:val="004A0511"/>
    <w:rsid w:val="004A0934"/>
    <w:rsid w:val="004A13D7"/>
    <w:rsid w:val="004A24EC"/>
    <w:rsid w:val="004B29BD"/>
    <w:rsid w:val="004B2D8F"/>
    <w:rsid w:val="004B4963"/>
    <w:rsid w:val="004B4A5A"/>
    <w:rsid w:val="004B4D0A"/>
    <w:rsid w:val="004B60F6"/>
    <w:rsid w:val="004B75FA"/>
    <w:rsid w:val="004C00BF"/>
    <w:rsid w:val="004C0D44"/>
    <w:rsid w:val="004C0D7D"/>
    <w:rsid w:val="004C14FE"/>
    <w:rsid w:val="004C511C"/>
    <w:rsid w:val="004C6B1D"/>
    <w:rsid w:val="004D0096"/>
    <w:rsid w:val="004D0229"/>
    <w:rsid w:val="004D5479"/>
    <w:rsid w:val="004D776D"/>
    <w:rsid w:val="004D78BB"/>
    <w:rsid w:val="004E1703"/>
    <w:rsid w:val="004E1BFC"/>
    <w:rsid w:val="004E4D67"/>
    <w:rsid w:val="004E5A5D"/>
    <w:rsid w:val="004E6BD7"/>
    <w:rsid w:val="004E78F2"/>
    <w:rsid w:val="004E7B5E"/>
    <w:rsid w:val="004F3A7B"/>
    <w:rsid w:val="004F3EA6"/>
    <w:rsid w:val="004F5267"/>
    <w:rsid w:val="00502F2F"/>
    <w:rsid w:val="00503DFB"/>
    <w:rsid w:val="005041F0"/>
    <w:rsid w:val="005061F5"/>
    <w:rsid w:val="00506238"/>
    <w:rsid w:val="005070D6"/>
    <w:rsid w:val="00507B17"/>
    <w:rsid w:val="00507C4E"/>
    <w:rsid w:val="00507FE7"/>
    <w:rsid w:val="00513C7A"/>
    <w:rsid w:val="00514EA3"/>
    <w:rsid w:val="00516901"/>
    <w:rsid w:val="00521BC0"/>
    <w:rsid w:val="00523ACE"/>
    <w:rsid w:val="00524ED2"/>
    <w:rsid w:val="00527062"/>
    <w:rsid w:val="00531EE2"/>
    <w:rsid w:val="005343EB"/>
    <w:rsid w:val="00537EA2"/>
    <w:rsid w:val="005415E4"/>
    <w:rsid w:val="00541734"/>
    <w:rsid w:val="00541A86"/>
    <w:rsid w:val="0054292C"/>
    <w:rsid w:val="00544F52"/>
    <w:rsid w:val="005453AE"/>
    <w:rsid w:val="00545ABE"/>
    <w:rsid w:val="005462E1"/>
    <w:rsid w:val="00546DEA"/>
    <w:rsid w:val="00550309"/>
    <w:rsid w:val="005522D9"/>
    <w:rsid w:val="0055445E"/>
    <w:rsid w:val="00555335"/>
    <w:rsid w:val="00561DF2"/>
    <w:rsid w:val="005624A8"/>
    <w:rsid w:val="00562DF9"/>
    <w:rsid w:val="00562EC6"/>
    <w:rsid w:val="005636CD"/>
    <w:rsid w:val="00566B3D"/>
    <w:rsid w:val="00570E8F"/>
    <w:rsid w:val="005725E2"/>
    <w:rsid w:val="005730C5"/>
    <w:rsid w:val="00573EE7"/>
    <w:rsid w:val="005748B4"/>
    <w:rsid w:val="00576BA6"/>
    <w:rsid w:val="00581795"/>
    <w:rsid w:val="00581C62"/>
    <w:rsid w:val="00585C9F"/>
    <w:rsid w:val="00591E4D"/>
    <w:rsid w:val="00596744"/>
    <w:rsid w:val="005A2460"/>
    <w:rsid w:val="005A2E20"/>
    <w:rsid w:val="005A3580"/>
    <w:rsid w:val="005A3F4B"/>
    <w:rsid w:val="005A4E9F"/>
    <w:rsid w:val="005A545B"/>
    <w:rsid w:val="005B23BB"/>
    <w:rsid w:val="005B3EB7"/>
    <w:rsid w:val="005B47F2"/>
    <w:rsid w:val="005B4941"/>
    <w:rsid w:val="005C2AC6"/>
    <w:rsid w:val="005C4F1B"/>
    <w:rsid w:val="005D1F5B"/>
    <w:rsid w:val="005D2133"/>
    <w:rsid w:val="005D359D"/>
    <w:rsid w:val="005D4859"/>
    <w:rsid w:val="005D5427"/>
    <w:rsid w:val="005D765C"/>
    <w:rsid w:val="005D7F00"/>
    <w:rsid w:val="005E143F"/>
    <w:rsid w:val="005E22F9"/>
    <w:rsid w:val="005E235A"/>
    <w:rsid w:val="005E503E"/>
    <w:rsid w:val="005E73B3"/>
    <w:rsid w:val="005E7A5E"/>
    <w:rsid w:val="005F3156"/>
    <w:rsid w:val="005F72FE"/>
    <w:rsid w:val="00601A3F"/>
    <w:rsid w:val="00603DD8"/>
    <w:rsid w:val="00607365"/>
    <w:rsid w:val="00610F2D"/>
    <w:rsid w:val="00611105"/>
    <w:rsid w:val="0061159E"/>
    <w:rsid w:val="006128FF"/>
    <w:rsid w:val="00613FE8"/>
    <w:rsid w:val="00615EA8"/>
    <w:rsid w:val="00617957"/>
    <w:rsid w:val="0062108E"/>
    <w:rsid w:val="0062250A"/>
    <w:rsid w:val="00623821"/>
    <w:rsid w:val="00623D03"/>
    <w:rsid w:val="00625A32"/>
    <w:rsid w:val="00626EE0"/>
    <w:rsid w:val="00627363"/>
    <w:rsid w:val="006340D8"/>
    <w:rsid w:val="0063445A"/>
    <w:rsid w:val="00634582"/>
    <w:rsid w:val="0063509E"/>
    <w:rsid w:val="00635617"/>
    <w:rsid w:val="00635702"/>
    <w:rsid w:val="006361AC"/>
    <w:rsid w:val="00637905"/>
    <w:rsid w:val="00641C05"/>
    <w:rsid w:val="00641E6B"/>
    <w:rsid w:val="00644018"/>
    <w:rsid w:val="00646264"/>
    <w:rsid w:val="006468F9"/>
    <w:rsid w:val="00652842"/>
    <w:rsid w:val="0065420F"/>
    <w:rsid w:val="0065698B"/>
    <w:rsid w:val="0066624F"/>
    <w:rsid w:val="006749AE"/>
    <w:rsid w:val="00675252"/>
    <w:rsid w:val="00680A4A"/>
    <w:rsid w:val="00681BEB"/>
    <w:rsid w:val="0069300D"/>
    <w:rsid w:val="006938DB"/>
    <w:rsid w:val="0069727B"/>
    <w:rsid w:val="00697928"/>
    <w:rsid w:val="006A190B"/>
    <w:rsid w:val="006A5DFA"/>
    <w:rsid w:val="006A6963"/>
    <w:rsid w:val="006B3CE0"/>
    <w:rsid w:val="006B4FE1"/>
    <w:rsid w:val="006B73D8"/>
    <w:rsid w:val="006C1FAF"/>
    <w:rsid w:val="006C3925"/>
    <w:rsid w:val="006C4511"/>
    <w:rsid w:val="006C4AB5"/>
    <w:rsid w:val="006C4DD4"/>
    <w:rsid w:val="006C5246"/>
    <w:rsid w:val="006C5DBC"/>
    <w:rsid w:val="006C5EE0"/>
    <w:rsid w:val="006D1C7A"/>
    <w:rsid w:val="006D475F"/>
    <w:rsid w:val="006D48FC"/>
    <w:rsid w:val="006D4FC5"/>
    <w:rsid w:val="006D570D"/>
    <w:rsid w:val="006D7DD8"/>
    <w:rsid w:val="006E24ED"/>
    <w:rsid w:val="006F2B25"/>
    <w:rsid w:val="006F2D49"/>
    <w:rsid w:val="006F330C"/>
    <w:rsid w:val="006F406E"/>
    <w:rsid w:val="006F5C32"/>
    <w:rsid w:val="006F7C1E"/>
    <w:rsid w:val="00700728"/>
    <w:rsid w:val="00701296"/>
    <w:rsid w:val="007014D3"/>
    <w:rsid w:val="00701767"/>
    <w:rsid w:val="0070387A"/>
    <w:rsid w:val="00703F57"/>
    <w:rsid w:val="007043A0"/>
    <w:rsid w:val="00704936"/>
    <w:rsid w:val="00706561"/>
    <w:rsid w:val="00711B0A"/>
    <w:rsid w:val="00713D19"/>
    <w:rsid w:val="0071450F"/>
    <w:rsid w:val="00716305"/>
    <w:rsid w:val="00720985"/>
    <w:rsid w:val="00721B42"/>
    <w:rsid w:val="007230AC"/>
    <w:rsid w:val="00723C79"/>
    <w:rsid w:val="007259DA"/>
    <w:rsid w:val="00730A5C"/>
    <w:rsid w:val="00731F38"/>
    <w:rsid w:val="007322A6"/>
    <w:rsid w:val="00733F56"/>
    <w:rsid w:val="00741041"/>
    <w:rsid w:val="0074196E"/>
    <w:rsid w:val="00742ECA"/>
    <w:rsid w:val="007434FA"/>
    <w:rsid w:val="00744A80"/>
    <w:rsid w:val="00744AF1"/>
    <w:rsid w:val="00750394"/>
    <w:rsid w:val="007508B0"/>
    <w:rsid w:val="00750BE4"/>
    <w:rsid w:val="00752359"/>
    <w:rsid w:val="00754D5A"/>
    <w:rsid w:val="00757E5D"/>
    <w:rsid w:val="00760952"/>
    <w:rsid w:val="007611E0"/>
    <w:rsid w:val="00761CE9"/>
    <w:rsid w:val="0076238F"/>
    <w:rsid w:val="00764D1E"/>
    <w:rsid w:val="00765467"/>
    <w:rsid w:val="00767705"/>
    <w:rsid w:val="00767D4F"/>
    <w:rsid w:val="00767F40"/>
    <w:rsid w:val="00770147"/>
    <w:rsid w:val="007706E1"/>
    <w:rsid w:val="0077628A"/>
    <w:rsid w:val="007774F0"/>
    <w:rsid w:val="00780D30"/>
    <w:rsid w:val="0078159F"/>
    <w:rsid w:val="007820A0"/>
    <w:rsid w:val="00782688"/>
    <w:rsid w:val="00786B5E"/>
    <w:rsid w:val="00786CBD"/>
    <w:rsid w:val="0079070C"/>
    <w:rsid w:val="0079228D"/>
    <w:rsid w:val="00793FAA"/>
    <w:rsid w:val="007941B6"/>
    <w:rsid w:val="00796FCC"/>
    <w:rsid w:val="007978E7"/>
    <w:rsid w:val="007A20A5"/>
    <w:rsid w:val="007A3B91"/>
    <w:rsid w:val="007A4451"/>
    <w:rsid w:val="007A601E"/>
    <w:rsid w:val="007A6B49"/>
    <w:rsid w:val="007A6B91"/>
    <w:rsid w:val="007A790E"/>
    <w:rsid w:val="007A7B72"/>
    <w:rsid w:val="007A7C77"/>
    <w:rsid w:val="007B13F7"/>
    <w:rsid w:val="007B22D3"/>
    <w:rsid w:val="007B308C"/>
    <w:rsid w:val="007B3A3A"/>
    <w:rsid w:val="007B54C6"/>
    <w:rsid w:val="007C2AC4"/>
    <w:rsid w:val="007C47E3"/>
    <w:rsid w:val="007C4D03"/>
    <w:rsid w:val="007D0AC0"/>
    <w:rsid w:val="007D2E3A"/>
    <w:rsid w:val="007D3518"/>
    <w:rsid w:val="007D74B9"/>
    <w:rsid w:val="007D7746"/>
    <w:rsid w:val="007E3C17"/>
    <w:rsid w:val="007E6AB7"/>
    <w:rsid w:val="007F0A85"/>
    <w:rsid w:val="007F0E34"/>
    <w:rsid w:val="007F2A34"/>
    <w:rsid w:val="007F2B96"/>
    <w:rsid w:val="007F6EF1"/>
    <w:rsid w:val="0080055C"/>
    <w:rsid w:val="00801BCA"/>
    <w:rsid w:val="00801C61"/>
    <w:rsid w:val="008052A1"/>
    <w:rsid w:val="008070C3"/>
    <w:rsid w:val="00811E6F"/>
    <w:rsid w:val="008121BD"/>
    <w:rsid w:val="00815120"/>
    <w:rsid w:val="008161D1"/>
    <w:rsid w:val="00817192"/>
    <w:rsid w:val="00817B5D"/>
    <w:rsid w:val="00821B4A"/>
    <w:rsid w:val="00823FE5"/>
    <w:rsid w:val="008268C8"/>
    <w:rsid w:val="0082733F"/>
    <w:rsid w:val="0083009D"/>
    <w:rsid w:val="00832880"/>
    <w:rsid w:val="008343A1"/>
    <w:rsid w:val="008369EB"/>
    <w:rsid w:val="00846FC0"/>
    <w:rsid w:val="00847AF7"/>
    <w:rsid w:val="00850B9A"/>
    <w:rsid w:val="0085193F"/>
    <w:rsid w:val="00852136"/>
    <w:rsid w:val="00852341"/>
    <w:rsid w:val="00852CC5"/>
    <w:rsid w:val="00853D1F"/>
    <w:rsid w:val="00854543"/>
    <w:rsid w:val="00856389"/>
    <w:rsid w:val="00857153"/>
    <w:rsid w:val="008642C1"/>
    <w:rsid w:val="00865665"/>
    <w:rsid w:val="0087240D"/>
    <w:rsid w:val="00874A44"/>
    <w:rsid w:val="00874DE0"/>
    <w:rsid w:val="008755B8"/>
    <w:rsid w:val="00875ABA"/>
    <w:rsid w:val="00875B80"/>
    <w:rsid w:val="0087795C"/>
    <w:rsid w:val="00877C4D"/>
    <w:rsid w:val="008816A7"/>
    <w:rsid w:val="00881C21"/>
    <w:rsid w:val="00882291"/>
    <w:rsid w:val="008840E2"/>
    <w:rsid w:val="0088767A"/>
    <w:rsid w:val="008A3D70"/>
    <w:rsid w:val="008A565D"/>
    <w:rsid w:val="008A5B17"/>
    <w:rsid w:val="008A6A27"/>
    <w:rsid w:val="008A7546"/>
    <w:rsid w:val="008B27B3"/>
    <w:rsid w:val="008B2ECA"/>
    <w:rsid w:val="008B3384"/>
    <w:rsid w:val="008B5A57"/>
    <w:rsid w:val="008B5DB7"/>
    <w:rsid w:val="008B6B8B"/>
    <w:rsid w:val="008C1C68"/>
    <w:rsid w:val="008C2277"/>
    <w:rsid w:val="008C2BC9"/>
    <w:rsid w:val="008C2F06"/>
    <w:rsid w:val="008C6637"/>
    <w:rsid w:val="008C756D"/>
    <w:rsid w:val="008C787E"/>
    <w:rsid w:val="008C7A48"/>
    <w:rsid w:val="008D312E"/>
    <w:rsid w:val="008D7E51"/>
    <w:rsid w:val="008E07D1"/>
    <w:rsid w:val="008E0A9B"/>
    <w:rsid w:val="008E19C6"/>
    <w:rsid w:val="008E6859"/>
    <w:rsid w:val="008E6EC8"/>
    <w:rsid w:val="008F1619"/>
    <w:rsid w:val="008F186F"/>
    <w:rsid w:val="008F1B09"/>
    <w:rsid w:val="008F223C"/>
    <w:rsid w:val="008F279C"/>
    <w:rsid w:val="008F2AE7"/>
    <w:rsid w:val="008F523F"/>
    <w:rsid w:val="008F5D3E"/>
    <w:rsid w:val="008F75AD"/>
    <w:rsid w:val="00901403"/>
    <w:rsid w:val="00902495"/>
    <w:rsid w:val="00902934"/>
    <w:rsid w:val="00905AE3"/>
    <w:rsid w:val="00905E99"/>
    <w:rsid w:val="009074BE"/>
    <w:rsid w:val="009155E1"/>
    <w:rsid w:val="00917433"/>
    <w:rsid w:val="00917774"/>
    <w:rsid w:val="00921640"/>
    <w:rsid w:val="00921853"/>
    <w:rsid w:val="00923BDC"/>
    <w:rsid w:val="00925AA7"/>
    <w:rsid w:val="0092674C"/>
    <w:rsid w:val="00930339"/>
    <w:rsid w:val="00930A45"/>
    <w:rsid w:val="00933712"/>
    <w:rsid w:val="00934A6D"/>
    <w:rsid w:val="009362BA"/>
    <w:rsid w:val="009401C5"/>
    <w:rsid w:val="00941740"/>
    <w:rsid w:val="00944702"/>
    <w:rsid w:val="00960037"/>
    <w:rsid w:val="009618FD"/>
    <w:rsid w:val="0096276B"/>
    <w:rsid w:val="00962EEA"/>
    <w:rsid w:val="009634C2"/>
    <w:rsid w:val="00966343"/>
    <w:rsid w:val="00966ADD"/>
    <w:rsid w:val="0097112D"/>
    <w:rsid w:val="00971175"/>
    <w:rsid w:val="00972A51"/>
    <w:rsid w:val="00972EA6"/>
    <w:rsid w:val="00973FFD"/>
    <w:rsid w:val="00974665"/>
    <w:rsid w:val="00975583"/>
    <w:rsid w:val="009769CF"/>
    <w:rsid w:val="00980A2B"/>
    <w:rsid w:val="00982A95"/>
    <w:rsid w:val="00983A35"/>
    <w:rsid w:val="009855CE"/>
    <w:rsid w:val="009860C1"/>
    <w:rsid w:val="0099116F"/>
    <w:rsid w:val="009915A9"/>
    <w:rsid w:val="00991C7C"/>
    <w:rsid w:val="00991EBF"/>
    <w:rsid w:val="00992D14"/>
    <w:rsid w:val="009941A3"/>
    <w:rsid w:val="0099508B"/>
    <w:rsid w:val="00997ADE"/>
    <w:rsid w:val="00997C8B"/>
    <w:rsid w:val="009A0CA7"/>
    <w:rsid w:val="009A0D4B"/>
    <w:rsid w:val="009A1352"/>
    <w:rsid w:val="009A3760"/>
    <w:rsid w:val="009A6827"/>
    <w:rsid w:val="009A6E02"/>
    <w:rsid w:val="009B03BD"/>
    <w:rsid w:val="009B4DDA"/>
    <w:rsid w:val="009B57A6"/>
    <w:rsid w:val="009C014A"/>
    <w:rsid w:val="009C22AB"/>
    <w:rsid w:val="009C6A46"/>
    <w:rsid w:val="009D3B0F"/>
    <w:rsid w:val="009D5393"/>
    <w:rsid w:val="009E2446"/>
    <w:rsid w:val="009E26A4"/>
    <w:rsid w:val="009E2B06"/>
    <w:rsid w:val="009E3620"/>
    <w:rsid w:val="009E628B"/>
    <w:rsid w:val="009E6759"/>
    <w:rsid w:val="009F2049"/>
    <w:rsid w:val="009F2938"/>
    <w:rsid w:val="009F662E"/>
    <w:rsid w:val="009F73A5"/>
    <w:rsid w:val="00A010EA"/>
    <w:rsid w:val="00A018FE"/>
    <w:rsid w:val="00A0254F"/>
    <w:rsid w:val="00A03243"/>
    <w:rsid w:val="00A0368F"/>
    <w:rsid w:val="00A06410"/>
    <w:rsid w:val="00A12C0A"/>
    <w:rsid w:val="00A12EBD"/>
    <w:rsid w:val="00A13159"/>
    <w:rsid w:val="00A1355B"/>
    <w:rsid w:val="00A16161"/>
    <w:rsid w:val="00A23C1E"/>
    <w:rsid w:val="00A2443E"/>
    <w:rsid w:val="00A2451B"/>
    <w:rsid w:val="00A24C1D"/>
    <w:rsid w:val="00A24ED7"/>
    <w:rsid w:val="00A250BE"/>
    <w:rsid w:val="00A321C5"/>
    <w:rsid w:val="00A36562"/>
    <w:rsid w:val="00A40087"/>
    <w:rsid w:val="00A42AC7"/>
    <w:rsid w:val="00A4467A"/>
    <w:rsid w:val="00A44FC0"/>
    <w:rsid w:val="00A454D5"/>
    <w:rsid w:val="00A5001A"/>
    <w:rsid w:val="00A52184"/>
    <w:rsid w:val="00A5219C"/>
    <w:rsid w:val="00A5313A"/>
    <w:rsid w:val="00A53BBB"/>
    <w:rsid w:val="00A5416B"/>
    <w:rsid w:val="00A542A2"/>
    <w:rsid w:val="00A55221"/>
    <w:rsid w:val="00A56DEA"/>
    <w:rsid w:val="00A575A0"/>
    <w:rsid w:val="00A57783"/>
    <w:rsid w:val="00A57B61"/>
    <w:rsid w:val="00A60593"/>
    <w:rsid w:val="00A61758"/>
    <w:rsid w:val="00A61BAD"/>
    <w:rsid w:val="00A65625"/>
    <w:rsid w:val="00A677BA"/>
    <w:rsid w:val="00A67C9B"/>
    <w:rsid w:val="00A67E8F"/>
    <w:rsid w:val="00A7131C"/>
    <w:rsid w:val="00A718E1"/>
    <w:rsid w:val="00A73FA4"/>
    <w:rsid w:val="00A73FD0"/>
    <w:rsid w:val="00A76245"/>
    <w:rsid w:val="00A81F0B"/>
    <w:rsid w:val="00A82040"/>
    <w:rsid w:val="00A83A98"/>
    <w:rsid w:val="00A86A16"/>
    <w:rsid w:val="00A90BB3"/>
    <w:rsid w:val="00A9128C"/>
    <w:rsid w:val="00A94D96"/>
    <w:rsid w:val="00A950BA"/>
    <w:rsid w:val="00A95199"/>
    <w:rsid w:val="00A95DB4"/>
    <w:rsid w:val="00A969D2"/>
    <w:rsid w:val="00AA037F"/>
    <w:rsid w:val="00AA04F6"/>
    <w:rsid w:val="00AA5EA0"/>
    <w:rsid w:val="00AA5EEB"/>
    <w:rsid w:val="00AA68D0"/>
    <w:rsid w:val="00AA75B2"/>
    <w:rsid w:val="00AB06CC"/>
    <w:rsid w:val="00AB0BAF"/>
    <w:rsid w:val="00AB2BA1"/>
    <w:rsid w:val="00AB36C5"/>
    <w:rsid w:val="00AB4E78"/>
    <w:rsid w:val="00AB5F7F"/>
    <w:rsid w:val="00AB6732"/>
    <w:rsid w:val="00AC0338"/>
    <w:rsid w:val="00AC4062"/>
    <w:rsid w:val="00AC52B3"/>
    <w:rsid w:val="00AC5482"/>
    <w:rsid w:val="00AC5B92"/>
    <w:rsid w:val="00AD062F"/>
    <w:rsid w:val="00AD38D3"/>
    <w:rsid w:val="00AD5B99"/>
    <w:rsid w:val="00AD5CED"/>
    <w:rsid w:val="00AE2161"/>
    <w:rsid w:val="00AE4F59"/>
    <w:rsid w:val="00AE7124"/>
    <w:rsid w:val="00AE76C4"/>
    <w:rsid w:val="00AE78BD"/>
    <w:rsid w:val="00AE7D9F"/>
    <w:rsid w:val="00AF2564"/>
    <w:rsid w:val="00AF4034"/>
    <w:rsid w:val="00AF5A5C"/>
    <w:rsid w:val="00B0154B"/>
    <w:rsid w:val="00B024BE"/>
    <w:rsid w:val="00B03788"/>
    <w:rsid w:val="00B03D45"/>
    <w:rsid w:val="00B0511E"/>
    <w:rsid w:val="00B06000"/>
    <w:rsid w:val="00B071A8"/>
    <w:rsid w:val="00B07D3A"/>
    <w:rsid w:val="00B10BED"/>
    <w:rsid w:val="00B1159F"/>
    <w:rsid w:val="00B11635"/>
    <w:rsid w:val="00B1243F"/>
    <w:rsid w:val="00B15659"/>
    <w:rsid w:val="00B16A37"/>
    <w:rsid w:val="00B20C24"/>
    <w:rsid w:val="00B21980"/>
    <w:rsid w:val="00B239BB"/>
    <w:rsid w:val="00B242BC"/>
    <w:rsid w:val="00B2609E"/>
    <w:rsid w:val="00B264D9"/>
    <w:rsid w:val="00B273A9"/>
    <w:rsid w:val="00B33368"/>
    <w:rsid w:val="00B33A44"/>
    <w:rsid w:val="00B34221"/>
    <w:rsid w:val="00B34B31"/>
    <w:rsid w:val="00B36F2A"/>
    <w:rsid w:val="00B43541"/>
    <w:rsid w:val="00B4506F"/>
    <w:rsid w:val="00B469DC"/>
    <w:rsid w:val="00B46DFE"/>
    <w:rsid w:val="00B50364"/>
    <w:rsid w:val="00B52B60"/>
    <w:rsid w:val="00B55E67"/>
    <w:rsid w:val="00B5636B"/>
    <w:rsid w:val="00B56616"/>
    <w:rsid w:val="00B56675"/>
    <w:rsid w:val="00B608A9"/>
    <w:rsid w:val="00B62EAB"/>
    <w:rsid w:val="00B6334D"/>
    <w:rsid w:val="00B63724"/>
    <w:rsid w:val="00B65378"/>
    <w:rsid w:val="00B65FBA"/>
    <w:rsid w:val="00B66BCD"/>
    <w:rsid w:val="00B66CEC"/>
    <w:rsid w:val="00B70052"/>
    <w:rsid w:val="00B7007B"/>
    <w:rsid w:val="00B70756"/>
    <w:rsid w:val="00B70FF8"/>
    <w:rsid w:val="00B7292E"/>
    <w:rsid w:val="00B740AB"/>
    <w:rsid w:val="00B76FA9"/>
    <w:rsid w:val="00B8103F"/>
    <w:rsid w:val="00B82221"/>
    <w:rsid w:val="00B842BD"/>
    <w:rsid w:val="00B84F37"/>
    <w:rsid w:val="00B86698"/>
    <w:rsid w:val="00B92020"/>
    <w:rsid w:val="00B93F0A"/>
    <w:rsid w:val="00B97150"/>
    <w:rsid w:val="00BA0CB0"/>
    <w:rsid w:val="00BA137B"/>
    <w:rsid w:val="00BA25E3"/>
    <w:rsid w:val="00BA3824"/>
    <w:rsid w:val="00BA3EA6"/>
    <w:rsid w:val="00BA4724"/>
    <w:rsid w:val="00BA5F39"/>
    <w:rsid w:val="00BA6480"/>
    <w:rsid w:val="00BB01B4"/>
    <w:rsid w:val="00BB03C4"/>
    <w:rsid w:val="00BB0B58"/>
    <w:rsid w:val="00BB1466"/>
    <w:rsid w:val="00BB1652"/>
    <w:rsid w:val="00BB1684"/>
    <w:rsid w:val="00BB2AE1"/>
    <w:rsid w:val="00BB7C28"/>
    <w:rsid w:val="00BC0E0D"/>
    <w:rsid w:val="00BC1461"/>
    <w:rsid w:val="00BC5462"/>
    <w:rsid w:val="00BD222B"/>
    <w:rsid w:val="00BD35EF"/>
    <w:rsid w:val="00BD3B21"/>
    <w:rsid w:val="00BD3F8E"/>
    <w:rsid w:val="00BD61D2"/>
    <w:rsid w:val="00BE061F"/>
    <w:rsid w:val="00BE240C"/>
    <w:rsid w:val="00BE2AAA"/>
    <w:rsid w:val="00BE664D"/>
    <w:rsid w:val="00BE7C87"/>
    <w:rsid w:val="00BF0D11"/>
    <w:rsid w:val="00BF1B84"/>
    <w:rsid w:val="00BF207E"/>
    <w:rsid w:val="00BF325D"/>
    <w:rsid w:val="00C02339"/>
    <w:rsid w:val="00C02437"/>
    <w:rsid w:val="00C02E06"/>
    <w:rsid w:val="00C04111"/>
    <w:rsid w:val="00C066D7"/>
    <w:rsid w:val="00C07CF4"/>
    <w:rsid w:val="00C11CDE"/>
    <w:rsid w:val="00C126DB"/>
    <w:rsid w:val="00C14AE2"/>
    <w:rsid w:val="00C14D4A"/>
    <w:rsid w:val="00C15ACF"/>
    <w:rsid w:val="00C23190"/>
    <w:rsid w:val="00C2337F"/>
    <w:rsid w:val="00C25BD5"/>
    <w:rsid w:val="00C25C50"/>
    <w:rsid w:val="00C27295"/>
    <w:rsid w:val="00C274AA"/>
    <w:rsid w:val="00C275A6"/>
    <w:rsid w:val="00C306EE"/>
    <w:rsid w:val="00C30756"/>
    <w:rsid w:val="00C3218B"/>
    <w:rsid w:val="00C36009"/>
    <w:rsid w:val="00C3623D"/>
    <w:rsid w:val="00C40696"/>
    <w:rsid w:val="00C41E25"/>
    <w:rsid w:val="00C4375B"/>
    <w:rsid w:val="00C44667"/>
    <w:rsid w:val="00C452C4"/>
    <w:rsid w:val="00C46B72"/>
    <w:rsid w:val="00C50A53"/>
    <w:rsid w:val="00C50AFA"/>
    <w:rsid w:val="00C51711"/>
    <w:rsid w:val="00C52F36"/>
    <w:rsid w:val="00C531B3"/>
    <w:rsid w:val="00C54886"/>
    <w:rsid w:val="00C56526"/>
    <w:rsid w:val="00C5663C"/>
    <w:rsid w:val="00C60F2A"/>
    <w:rsid w:val="00C61C94"/>
    <w:rsid w:val="00C63CE9"/>
    <w:rsid w:val="00C64A52"/>
    <w:rsid w:val="00C6544B"/>
    <w:rsid w:val="00C65919"/>
    <w:rsid w:val="00C66BA2"/>
    <w:rsid w:val="00C66C8F"/>
    <w:rsid w:val="00C66ED1"/>
    <w:rsid w:val="00C671BD"/>
    <w:rsid w:val="00C67835"/>
    <w:rsid w:val="00C72E31"/>
    <w:rsid w:val="00C73DE0"/>
    <w:rsid w:val="00C7485A"/>
    <w:rsid w:val="00C74B0B"/>
    <w:rsid w:val="00C74D53"/>
    <w:rsid w:val="00C80F94"/>
    <w:rsid w:val="00C81485"/>
    <w:rsid w:val="00C82E7D"/>
    <w:rsid w:val="00C901F6"/>
    <w:rsid w:val="00C902FF"/>
    <w:rsid w:val="00C90417"/>
    <w:rsid w:val="00C9204D"/>
    <w:rsid w:val="00C92911"/>
    <w:rsid w:val="00C944E6"/>
    <w:rsid w:val="00CA22AC"/>
    <w:rsid w:val="00CA4653"/>
    <w:rsid w:val="00CA4C16"/>
    <w:rsid w:val="00CA4EC8"/>
    <w:rsid w:val="00CA5A29"/>
    <w:rsid w:val="00CA65EF"/>
    <w:rsid w:val="00CA7391"/>
    <w:rsid w:val="00CB0BC2"/>
    <w:rsid w:val="00CB1E1A"/>
    <w:rsid w:val="00CB22C4"/>
    <w:rsid w:val="00CB25D7"/>
    <w:rsid w:val="00CB2C44"/>
    <w:rsid w:val="00CB4EA2"/>
    <w:rsid w:val="00CB66E4"/>
    <w:rsid w:val="00CB6765"/>
    <w:rsid w:val="00CB7158"/>
    <w:rsid w:val="00CC3F1D"/>
    <w:rsid w:val="00CC5DF1"/>
    <w:rsid w:val="00CC6DA4"/>
    <w:rsid w:val="00CC6F89"/>
    <w:rsid w:val="00CD00F8"/>
    <w:rsid w:val="00CD031B"/>
    <w:rsid w:val="00CD0568"/>
    <w:rsid w:val="00CD05FC"/>
    <w:rsid w:val="00CD1A8F"/>
    <w:rsid w:val="00CD1DC0"/>
    <w:rsid w:val="00CD49AA"/>
    <w:rsid w:val="00CD695C"/>
    <w:rsid w:val="00CE3C10"/>
    <w:rsid w:val="00CE3DA1"/>
    <w:rsid w:val="00CE64AB"/>
    <w:rsid w:val="00CF1BFD"/>
    <w:rsid w:val="00CF7487"/>
    <w:rsid w:val="00D004A4"/>
    <w:rsid w:val="00D007F6"/>
    <w:rsid w:val="00D06F16"/>
    <w:rsid w:val="00D07AEE"/>
    <w:rsid w:val="00D101A2"/>
    <w:rsid w:val="00D10B50"/>
    <w:rsid w:val="00D13F1F"/>
    <w:rsid w:val="00D17C03"/>
    <w:rsid w:val="00D22080"/>
    <w:rsid w:val="00D230AE"/>
    <w:rsid w:val="00D2350F"/>
    <w:rsid w:val="00D23524"/>
    <w:rsid w:val="00D23D1B"/>
    <w:rsid w:val="00D24D01"/>
    <w:rsid w:val="00D25859"/>
    <w:rsid w:val="00D26308"/>
    <w:rsid w:val="00D303C8"/>
    <w:rsid w:val="00D305BF"/>
    <w:rsid w:val="00D36FE3"/>
    <w:rsid w:val="00D408D8"/>
    <w:rsid w:val="00D416F5"/>
    <w:rsid w:val="00D44FDD"/>
    <w:rsid w:val="00D457B3"/>
    <w:rsid w:val="00D45A54"/>
    <w:rsid w:val="00D46C36"/>
    <w:rsid w:val="00D51974"/>
    <w:rsid w:val="00D533F6"/>
    <w:rsid w:val="00D53D48"/>
    <w:rsid w:val="00D546BA"/>
    <w:rsid w:val="00D55E3C"/>
    <w:rsid w:val="00D57CD1"/>
    <w:rsid w:val="00D60BA6"/>
    <w:rsid w:val="00D61C91"/>
    <w:rsid w:val="00D621A3"/>
    <w:rsid w:val="00D62EED"/>
    <w:rsid w:val="00D62FAF"/>
    <w:rsid w:val="00D67292"/>
    <w:rsid w:val="00D70505"/>
    <w:rsid w:val="00D705CB"/>
    <w:rsid w:val="00D70A65"/>
    <w:rsid w:val="00D71F08"/>
    <w:rsid w:val="00D72900"/>
    <w:rsid w:val="00D73887"/>
    <w:rsid w:val="00D74467"/>
    <w:rsid w:val="00D752FE"/>
    <w:rsid w:val="00D81F9E"/>
    <w:rsid w:val="00D82006"/>
    <w:rsid w:val="00D84323"/>
    <w:rsid w:val="00D849E8"/>
    <w:rsid w:val="00D85766"/>
    <w:rsid w:val="00D86E23"/>
    <w:rsid w:val="00D8731A"/>
    <w:rsid w:val="00DA14F6"/>
    <w:rsid w:val="00DA30A3"/>
    <w:rsid w:val="00DA5F92"/>
    <w:rsid w:val="00DB07DC"/>
    <w:rsid w:val="00DB0991"/>
    <w:rsid w:val="00DB0ADE"/>
    <w:rsid w:val="00DB1B06"/>
    <w:rsid w:val="00DB30D4"/>
    <w:rsid w:val="00DB4C0E"/>
    <w:rsid w:val="00DB6CCE"/>
    <w:rsid w:val="00DC03C5"/>
    <w:rsid w:val="00DC167E"/>
    <w:rsid w:val="00DC46BE"/>
    <w:rsid w:val="00DC4D27"/>
    <w:rsid w:val="00DC62EB"/>
    <w:rsid w:val="00DC7109"/>
    <w:rsid w:val="00DC7E8F"/>
    <w:rsid w:val="00DD0621"/>
    <w:rsid w:val="00DD26AA"/>
    <w:rsid w:val="00DD6E6C"/>
    <w:rsid w:val="00DD7250"/>
    <w:rsid w:val="00DE021B"/>
    <w:rsid w:val="00DE473D"/>
    <w:rsid w:val="00DE5516"/>
    <w:rsid w:val="00DE6D4A"/>
    <w:rsid w:val="00DF0327"/>
    <w:rsid w:val="00DF1319"/>
    <w:rsid w:val="00DF1D25"/>
    <w:rsid w:val="00DF2371"/>
    <w:rsid w:val="00DF2A70"/>
    <w:rsid w:val="00DF7950"/>
    <w:rsid w:val="00DF7A31"/>
    <w:rsid w:val="00E05EBB"/>
    <w:rsid w:val="00E108C4"/>
    <w:rsid w:val="00E10EF2"/>
    <w:rsid w:val="00E11E01"/>
    <w:rsid w:val="00E13589"/>
    <w:rsid w:val="00E13EFE"/>
    <w:rsid w:val="00E14924"/>
    <w:rsid w:val="00E160B4"/>
    <w:rsid w:val="00E1786D"/>
    <w:rsid w:val="00E21175"/>
    <w:rsid w:val="00E21D6E"/>
    <w:rsid w:val="00E22DB0"/>
    <w:rsid w:val="00E245EB"/>
    <w:rsid w:val="00E25036"/>
    <w:rsid w:val="00E303E8"/>
    <w:rsid w:val="00E3157C"/>
    <w:rsid w:val="00E32191"/>
    <w:rsid w:val="00E32D50"/>
    <w:rsid w:val="00E339A2"/>
    <w:rsid w:val="00E35BD1"/>
    <w:rsid w:val="00E41812"/>
    <w:rsid w:val="00E44A04"/>
    <w:rsid w:val="00E46149"/>
    <w:rsid w:val="00E4773F"/>
    <w:rsid w:val="00E47D8C"/>
    <w:rsid w:val="00E5108E"/>
    <w:rsid w:val="00E55AC9"/>
    <w:rsid w:val="00E5645B"/>
    <w:rsid w:val="00E63667"/>
    <w:rsid w:val="00E66DD8"/>
    <w:rsid w:val="00E6747E"/>
    <w:rsid w:val="00E7127A"/>
    <w:rsid w:val="00E72380"/>
    <w:rsid w:val="00E73263"/>
    <w:rsid w:val="00E73E06"/>
    <w:rsid w:val="00E760DB"/>
    <w:rsid w:val="00E77E51"/>
    <w:rsid w:val="00E80C49"/>
    <w:rsid w:val="00E82EFB"/>
    <w:rsid w:val="00E84BBF"/>
    <w:rsid w:val="00E84BDE"/>
    <w:rsid w:val="00E8531E"/>
    <w:rsid w:val="00E85919"/>
    <w:rsid w:val="00E87AC5"/>
    <w:rsid w:val="00E904BA"/>
    <w:rsid w:val="00E92AD2"/>
    <w:rsid w:val="00E94FF7"/>
    <w:rsid w:val="00E95A99"/>
    <w:rsid w:val="00E9770F"/>
    <w:rsid w:val="00E97EF2"/>
    <w:rsid w:val="00EA005B"/>
    <w:rsid w:val="00EA0F10"/>
    <w:rsid w:val="00EA1FC6"/>
    <w:rsid w:val="00EA316E"/>
    <w:rsid w:val="00EA46FF"/>
    <w:rsid w:val="00EA6DB8"/>
    <w:rsid w:val="00EA6E78"/>
    <w:rsid w:val="00EA77A3"/>
    <w:rsid w:val="00EB31E2"/>
    <w:rsid w:val="00EB3473"/>
    <w:rsid w:val="00EB4019"/>
    <w:rsid w:val="00EC2929"/>
    <w:rsid w:val="00EC398C"/>
    <w:rsid w:val="00EC50BE"/>
    <w:rsid w:val="00EC561A"/>
    <w:rsid w:val="00ED43B8"/>
    <w:rsid w:val="00ED4E9E"/>
    <w:rsid w:val="00ED6029"/>
    <w:rsid w:val="00EE0455"/>
    <w:rsid w:val="00EE3674"/>
    <w:rsid w:val="00EE47CD"/>
    <w:rsid w:val="00EE6BE8"/>
    <w:rsid w:val="00EE6DD6"/>
    <w:rsid w:val="00EE7759"/>
    <w:rsid w:val="00EF2373"/>
    <w:rsid w:val="00EF4B56"/>
    <w:rsid w:val="00EF60C9"/>
    <w:rsid w:val="00EF6E50"/>
    <w:rsid w:val="00EF6EE9"/>
    <w:rsid w:val="00F00A2D"/>
    <w:rsid w:val="00F01EAD"/>
    <w:rsid w:val="00F021D7"/>
    <w:rsid w:val="00F02F3D"/>
    <w:rsid w:val="00F033E6"/>
    <w:rsid w:val="00F03B4B"/>
    <w:rsid w:val="00F05A82"/>
    <w:rsid w:val="00F06609"/>
    <w:rsid w:val="00F071AE"/>
    <w:rsid w:val="00F07AAE"/>
    <w:rsid w:val="00F11F5A"/>
    <w:rsid w:val="00F12BCB"/>
    <w:rsid w:val="00F20198"/>
    <w:rsid w:val="00F20DCE"/>
    <w:rsid w:val="00F23F72"/>
    <w:rsid w:val="00F25497"/>
    <w:rsid w:val="00F273E6"/>
    <w:rsid w:val="00F27A7D"/>
    <w:rsid w:val="00F315E4"/>
    <w:rsid w:val="00F34795"/>
    <w:rsid w:val="00F34D84"/>
    <w:rsid w:val="00F374B1"/>
    <w:rsid w:val="00F40894"/>
    <w:rsid w:val="00F415EE"/>
    <w:rsid w:val="00F41C79"/>
    <w:rsid w:val="00F43235"/>
    <w:rsid w:val="00F4584C"/>
    <w:rsid w:val="00F46903"/>
    <w:rsid w:val="00F55C49"/>
    <w:rsid w:val="00F55ECD"/>
    <w:rsid w:val="00F56DDC"/>
    <w:rsid w:val="00F62784"/>
    <w:rsid w:val="00F650C0"/>
    <w:rsid w:val="00F67029"/>
    <w:rsid w:val="00F67C3F"/>
    <w:rsid w:val="00F703D1"/>
    <w:rsid w:val="00F70ABA"/>
    <w:rsid w:val="00F72196"/>
    <w:rsid w:val="00F72355"/>
    <w:rsid w:val="00F7417C"/>
    <w:rsid w:val="00F75A91"/>
    <w:rsid w:val="00F77076"/>
    <w:rsid w:val="00F772B3"/>
    <w:rsid w:val="00F7796A"/>
    <w:rsid w:val="00F80C0E"/>
    <w:rsid w:val="00F80FE9"/>
    <w:rsid w:val="00F81CF8"/>
    <w:rsid w:val="00F87A93"/>
    <w:rsid w:val="00F91881"/>
    <w:rsid w:val="00F96078"/>
    <w:rsid w:val="00FA53D3"/>
    <w:rsid w:val="00FA5C9F"/>
    <w:rsid w:val="00FA7A8F"/>
    <w:rsid w:val="00FB03D3"/>
    <w:rsid w:val="00FB0A9E"/>
    <w:rsid w:val="00FB39F6"/>
    <w:rsid w:val="00FB48DE"/>
    <w:rsid w:val="00FB6237"/>
    <w:rsid w:val="00FB6898"/>
    <w:rsid w:val="00FB79B0"/>
    <w:rsid w:val="00FC03D5"/>
    <w:rsid w:val="00FC17E7"/>
    <w:rsid w:val="00FC1D15"/>
    <w:rsid w:val="00FC214E"/>
    <w:rsid w:val="00FC70E7"/>
    <w:rsid w:val="00FC7B1E"/>
    <w:rsid w:val="00FC7EFC"/>
    <w:rsid w:val="00FD1CDE"/>
    <w:rsid w:val="00FD342C"/>
    <w:rsid w:val="00FD7C86"/>
    <w:rsid w:val="00FE0D4F"/>
    <w:rsid w:val="00FE4DD5"/>
    <w:rsid w:val="00FE5896"/>
    <w:rsid w:val="00FE5E90"/>
    <w:rsid w:val="00FF000A"/>
    <w:rsid w:val="00FF265B"/>
    <w:rsid w:val="00FF3D46"/>
    <w:rsid w:val="00FF41E7"/>
    <w:rsid w:val="00FF4482"/>
    <w:rsid w:val="00FF560D"/>
    <w:rsid w:val="00FF78A0"/>
    <w:rsid w:val="00FF7F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EC71A45-00E1-43C9-8365-2B933F83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sz w:val="24"/>
      <w:szCs w:val="24"/>
      <w:lang w:eastAsia="ar-SA"/>
    </w:rPr>
  </w:style>
  <w:style w:type="paragraph" w:styleId="Titolo1">
    <w:name w:val="heading 1"/>
    <w:basedOn w:val="Normale"/>
    <w:next w:val="Normale"/>
    <w:link w:val="Titolo1Carattere"/>
    <w:uiPriority w:val="99"/>
    <w:qFormat/>
    <w:rsid w:val="007C47E3"/>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sid w:val="004B4A5A"/>
    <w:rPr>
      <w:color w:val="0000FF"/>
      <w:u w:val="single"/>
    </w:rPr>
  </w:style>
  <w:style w:type="paragraph" w:styleId="Paragrafoelenco">
    <w:name w:val="List Paragraph"/>
    <w:basedOn w:val="Normale"/>
    <w:uiPriority w:val="34"/>
    <w:qFormat/>
    <w:rsid w:val="000E398D"/>
    <w:pPr>
      <w:ind w:left="720"/>
      <w:contextualSpacing/>
    </w:pPr>
  </w:style>
  <w:style w:type="paragraph" w:customStyle="1" w:styleId="Default">
    <w:name w:val="Default"/>
    <w:rsid w:val="000E398D"/>
    <w:pPr>
      <w:autoSpaceDE w:val="0"/>
      <w:autoSpaceDN w:val="0"/>
      <w:adjustRightInd w:val="0"/>
    </w:pPr>
    <w:rPr>
      <w:rFonts w:eastAsia="Calibri"/>
      <w:color w:val="000000"/>
      <w:sz w:val="24"/>
      <w:szCs w:val="24"/>
      <w:lang w:eastAsia="en-US"/>
    </w:rPr>
  </w:style>
  <w:style w:type="paragraph" w:styleId="Testofumetto">
    <w:name w:val="Balloon Text"/>
    <w:basedOn w:val="Normale"/>
    <w:link w:val="TestofumettoCarattere"/>
    <w:uiPriority w:val="99"/>
    <w:semiHidden/>
    <w:unhideWhenUsed/>
    <w:rsid w:val="00C90417"/>
    <w:rPr>
      <w:rFonts w:ascii="Tahoma" w:hAnsi="Tahoma" w:cs="Tahoma"/>
      <w:sz w:val="16"/>
      <w:szCs w:val="16"/>
    </w:rPr>
  </w:style>
  <w:style w:type="character" w:customStyle="1" w:styleId="TestofumettoCarattere">
    <w:name w:val="Testo fumetto Carattere"/>
    <w:link w:val="Testofumetto"/>
    <w:uiPriority w:val="99"/>
    <w:semiHidden/>
    <w:rsid w:val="00C90417"/>
    <w:rPr>
      <w:rFonts w:ascii="Tahoma" w:hAnsi="Tahoma" w:cs="Tahoma"/>
      <w:sz w:val="16"/>
      <w:szCs w:val="16"/>
      <w:lang w:eastAsia="ar-SA"/>
    </w:rPr>
  </w:style>
  <w:style w:type="character" w:customStyle="1" w:styleId="PidipaginaCarattere">
    <w:name w:val="Piè di pagina Carattere"/>
    <w:link w:val="Pidipagina"/>
    <w:uiPriority w:val="99"/>
    <w:rsid w:val="00333709"/>
    <w:rPr>
      <w:sz w:val="24"/>
      <w:szCs w:val="24"/>
      <w:lang w:eastAsia="ar-SA"/>
    </w:rPr>
  </w:style>
  <w:style w:type="character" w:customStyle="1" w:styleId="IntestazioneCarattere">
    <w:name w:val="Intestazione Carattere"/>
    <w:link w:val="Intestazione"/>
    <w:uiPriority w:val="99"/>
    <w:locked/>
    <w:rsid w:val="009362BA"/>
    <w:rPr>
      <w:sz w:val="24"/>
      <w:szCs w:val="24"/>
      <w:lang w:eastAsia="ar-SA"/>
    </w:rPr>
  </w:style>
  <w:style w:type="character" w:customStyle="1" w:styleId="grame">
    <w:name w:val="grame"/>
    <w:rsid w:val="00474E83"/>
  </w:style>
  <w:style w:type="paragraph" w:styleId="Testonotaapidipagina">
    <w:name w:val="footnote text"/>
    <w:basedOn w:val="Normale"/>
    <w:link w:val="TestonotaapidipaginaCarattere"/>
    <w:rsid w:val="0000317F"/>
    <w:pPr>
      <w:widowControl/>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00317F"/>
  </w:style>
  <w:style w:type="character" w:styleId="Rimandonotaapidipagina">
    <w:name w:val="footnote reference"/>
    <w:uiPriority w:val="99"/>
    <w:semiHidden/>
    <w:unhideWhenUsed/>
    <w:rsid w:val="00E160B4"/>
    <w:rPr>
      <w:vertAlign w:val="superscript"/>
    </w:rPr>
  </w:style>
  <w:style w:type="paragraph" w:styleId="Corpodeltesto2">
    <w:name w:val="Body Text 2"/>
    <w:basedOn w:val="Normale"/>
    <w:link w:val="Corpodeltesto2Carattere"/>
    <w:uiPriority w:val="99"/>
    <w:semiHidden/>
    <w:unhideWhenUsed/>
    <w:rsid w:val="00011A51"/>
    <w:pPr>
      <w:spacing w:after="120" w:line="480" w:lineRule="auto"/>
    </w:pPr>
  </w:style>
  <w:style w:type="character" w:customStyle="1" w:styleId="Corpodeltesto2Carattere">
    <w:name w:val="Corpo del testo 2 Carattere"/>
    <w:link w:val="Corpodeltesto2"/>
    <w:uiPriority w:val="99"/>
    <w:semiHidden/>
    <w:rsid w:val="00011A51"/>
    <w:rPr>
      <w:sz w:val="24"/>
      <w:szCs w:val="24"/>
      <w:lang w:eastAsia="ar-SA"/>
    </w:rPr>
  </w:style>
  <w:style w:type="paragraph" w:customStyle="1" w:styleId="TitoloperIndice">
    <w:name w:val="Titolo per Indice"/>
    <w:basedOn w:val="Normale"/>
    <w:uiPriority w:val="99"/>
    <w:rsid w:val="00011A51"/>
    <w:pPr>
      <w:keepNext/>
      <w:widowControl/>
      <w:pBdr>
        <w:top w:val="single" w:sz="4" w:space="1" w:color="auto"/>
        <w:bottom w:val="single" w:sz="4" w:space="0" w:color="auto"/>
      </w:pBdr>
      <w:suppressAutoHyphens w:val="0"/>
      <w:spacing w:before="120" w:after="120"/>
      <w:outlineLvl w:val="0"/>
    </w:pPr>
    <w:rPr>
      <w:b/>
      <w:bCs/>
      <w:caps/>
      <w:kern w:val="32"/>
      <w:szCs w:val="20"/>
      <w:lang w:eastAsia="it-IT"/>
    </w:rPr>
  </w:style>
  <w:style w:type="paragraph" w:customStyle="1" w:styleId="note">
    <w:name w:val="note"/>
    <w:basedOn w:val="Normale"/>
    <w:link w:val="noteCarattere"/>
    <w:rsid w:val="00BB0B58"/>
    <w:pPr>
      <w:widowControl/>
      <w:suppressAutoHyphens w:val="0"/>
      <w:jc w:val="both"/>
    </w:pPr>
    <w:rPr>
      <w:position w:val="6"/>
      <w:sz w:val="14"/>
      <w:szCs w:val="22"/>
      <w:lang w:eastAsia="it-IT"/>
    </w:rPr>
  </w:style>
  <w:style w:type="character" w:customStyle="1" w:styleId="noteCarattere">
    <w:name w:val="note Carattere"/>
    <w:link w:val="note"/>
    <w:rsid w:val="00BB0B58"/>
    <w:rPr>
      <w:position w:val="6"/>
      <w:sz w:val="14"/>
      <w:szCs w:val="22"/>
    </w:rPr>
  </w:style>
  <w:style w:type="character" w:customStyle="1" w:styleId="Titolo1Carattere">
    <w:name w:val="Titolo 1 Carattere"/>
    <w:link w:val="Titolo1"/>
    <w:uiPriority w:val="99"/>
    <w:rsid w:val="007C47E3"/>
    <w:rPr>
      <w:rFonts w:ascii="Cambria" w:eastAsia="Times New Roman" w:hAnsi="Cambria" w:cs="Times New Roman"/>
      <w:b/>
      <w:bCs/>
      <w:kern w:val="32"/>
      <w:sz w:val="32"/>
      <w:szCs w:val="32"/>
      <w:lang w:eastAsia="ar-SA"/>
    </w:rPr>
  </w:style>
  <w:style w:type="character" w:customStyle="1" w:styleId="s6">
    <w:name w:val="s6"/>
    <w:rsid w:val="003028A3"/>
  </w:style>
  <w:style w:type="paragraph" w:customStyle="1" w:styleId="s5">
    <w:name w:val="s5"/>
    <w:basedOn w:val="Normale"/>
    <w:rsid w:val="003028A3"/>
    <w:pPr>
      <w:widowControl/>
      <w:suppressAutoHyphens w:val="0"/>
      <w:spacing w:before="100" w:beforeAutospacing="1" w:after="100" w:afterAutospacing="1"/>
    </w:pPr>
    <w:rPr>
      <w:rFonts w:ascii="Calibri" w:eastAsia="Calibri" w:hAnsi="Calibri" w:cs="Calibri"/>
      <w:sz w:val="22"/>
      <w:szCs w:val="22"/>
      <w:lang w:eastAsia="en-US"/>
    </w:rPr>
  </w:style>
  <w:style w:type="character" w:styleId="Enfasidelicata">
    <w:name w:val="Subtle Emphasis"/>
    <w:basedOn w:val="Carpredefinitoparagrafo"/>
    <w:uiPriority w:val="19"/>
    <w:qFormat/>
    <w:rsid w:val="00BE061F"/>
    <w:rPr>
      <w:i/>
      <w:iCs/>
      <w:color w:val="808080" w:themeColor="text1" w:themeTint="7F"/>
    </w:rPr>
  </w:style>
  <w:style w:type="paragraph" w:customStyle="1" w:styleId="puntato">
    <w:name w:val="puntato"/>
    <w:basedOn w:val="Corpotesto"/>
    <w:link w:val="puntatoCarattere"/>
    <w:uiPriority w:val="99"/>
    <w:rsid w:val="00AB06CC"/>
    <w:pPr>
      <w:widowControl/>
      <w:numPr>
        <w:numId w:val="21"/>
      </w:numPr>
      <w:suppressAutoHyphens w:val="0"/>
      <w:spacing w:after="0"/>
      <w:jc w:val="both"/>
    </w:pPr>
    <w:rPr>
      <w:sz w:val="22"/>
      <w:szCs w:val="20"/>
      <w:lang w:eastAsia="it-IT"/>
    </w:rPr>
  </w:style>
  <w:style w:type="character" w:customStyle="1" w:styleId="puntatoCarattere">
    <w:name w:val="puntato Carattere"/>
    <w:basedOn w:val="Carpredefinitoparagrafo"/>
    <w:link w:val="puntato"/>
    <w:uiPriority w:val="99"/>
    <w:rsid w:val="00AB06CC"/>
    <w:rPr>
      <w:sz w:val="22"/>
    </w:rPr>
  </w:style>
  <w:style w:type="table" w:styleId="Grigliatabella">
    <w:name w:val="Table Grid"/>
    <w:basedOn w:val="Tabellanormale"/>
    <w:uiPriority w:val="59"/>
    <w:rsid w:val="007A3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71"/>
    <w:rsid w:val="00095062"/>
    <w:rPr>
      <w:sz w:val="24"/>
      <w:szCs w:val="24"/>
      <w:lang w:eastAsia="ar-SA"/>
    </w:rPr>
  </w:style>
  <w:style w:type="paragraph" w:customStyle="1" w:styleId="paragrafo">
    <w:name w:val="paragrafo"/>
    <w:basedOn w:val="Rientrocorpodeltesto"/>
    <w:link w:val="paragrafoCarattere"/>
    <w:uiPriority w:val="99"/>
    <w:rsid w:val="00A24ED7"/>
    <w:pPr>
      <w:widowControl/>
      <w:tabs>
        <w:tab w:val="right" w:pos="9072"/>
      </w:tabs>
      <w:suppressAutoHyphens w:val="0"/>
      <w:spacing w:before="120"/>
      <w:ind w:left="0"/>
      <w:jc w:val="both"/>
    </w:pPr>
    <w:rPr>
      <w:sz w:val="22"/>
      <w:lang w:val="it-CH"/>
    </w:rPr>
  </w:style>
  <w:style w:type="character" w:customStyle="1" w:styleId="paragrafoCarattere">
    <w:name w:val="paragrafo Carattere"/>
    <w:basedOn w:val="RientrocorpodeltestoCarattere"/>
    <w:link w:val="paragrafo"/>
    <w:uiPriority w:val="99"/>
    <w:locked/>
    <w:rsid w:val="00A24ED7"/>
    <w:rPr>
      <w:sz w:val="22"/>
      <w:szCs w:val="24"/>
      <w:lang w:val="it-CH" w:eastAsia="ar-SA"/>
    </w:rPr>
  </w:style>
  <w:style w:type="paragraph" w:styleId="Rientrocorpodeltesto">
    <w:name w:val="Body Text Indent"/>
    <w:basedOn w:val="Normale"/>
    <w:link w:val="RientrocorpodeltestoCarattere"/>
    <w:uiPriority w:val="99"/>
    <w:semiHidden/>
    <w:unhideWhenUsed/>
    <w:rsid w:val="00A24ED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24ED7"/>
    <w:rPr>
      <w:sz w:val="24"/>
      <w:szCs w:val="24"/>
      <w:lang w:eastAsia="ar-SA"/>
    </w:rPr>
  </w:style>
  <w:style w:type="character" w:customStyle="1" w:styleId="st">
    <w:name w:val="st"/>
    <w:basedOn w:val="Carpredefinitoparagrafo"/>
    <w:rsid w:val="004C0D44"/>
  </w:style>
  <w:style w:type="character" w:customStyle="1" w:styleId="DeltaViewInsertion">
    <w:name w:val="DeltaView Insertion"/>
    <w:uiPriority w:val="99"/>
    <w:rsid w:val="0099116F"/>
    <w:rPr>
      <w:color w:val="0000FF"/>
      <w:spacing w:val="0"/>
      <w:u w:val="double"/>
    </w:rPr>
  </w:style>
  <w:style w:type="paragraph" w:styleId="NormaleWeb">
    <w:name w:val="Normal (Web)"/>
    <w:basedOn w:val="Normale"/>
    <w:uiPriority w:val="99"/>
    <w:semiHidden/>
    <w:unhideWhenUsed/>
    <w:rsid w:val="00CA4653"/>
    <w:pPr>
      <w:widowControl/>
      <w:suppressAutoHyphens w:val="0"/>
      <w:spacing w:before="100" w:beforeAutospacing="1" w:after="100" w:afterAutospacing="1"/>
    </w:pPr>
    <w:rPr>
      <w:rFonts w:eastAsiaTheme="minorHAnsi"/>
      <w:lang w:eastAsia="it-IT"/>
    </w:rPr>
  </w:style>
  <w:style w:type="character" w:customStyle="1" w:styleId="apple-converted-space">
    <w:name w:val="apple-converted-space"/>
    <w:basedOn w:val="Carpredefinitoparagrafo"/>
    <w:rsid w:val="00CA4653"/>
  </w:style>
  <w:style w:type="paragraph" w:customStyle="1" w:styleId="default0">
    <w:name w:val="default"/>
    <w:basedOn w:val="Normale"/>
    <w:rsid w:val="00923BDC"/>
    <w:pPr>
      <w:widowControl/>
      <w:suppressAutoHyphens w:val="0"/>
      <w:autoSpaceDE w:val="0"/>
      <w:autoSpaceDN w:val="0"/>
    </w:pPr>
    <w:rPr>
      <w:rFonts w:eastAsiaTheme="minorHAns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805">
      <w:bodyDiv w:val="1"/>
      <w:marLeft w:val="0"/>
      <w:marRight w:val="0"/>
      <w:marTop w:val="0"/>
      <w:marBottom w:val="0"/>
      <w:divBdr>
        <w:top w:val="none" w:sz="0" w:space="0" w:color="auto"/>
        <w:left w:val="none" w:sz="0" w:space="0" w:color="auto"/>
        <w:bottom w:val="none" w:sz="0" w:space="0" w:color="auto"/>
        <w:right w:val="none" w:sz="0" w:space="0" w:color="auto"/>
      </w:divBdr>
    </w:div>
    <w:div w:id="56632558">
      <w:bodyDiv w:val="1"/>
      <w:marLeft w:val="0"/>
      <w:marRight w:val="0"/>
      <w:marTop w:val="0"/>
      <w:marBottom w:val="0"/>
      <w:divBdr>
        <w:top w:val="none" w:sz="0" w:space="0" w:color="auto"/>
        <w:left w:val="none" w:sz="0" w:space="0" w:color="auto"/>
        <w:bottom w:val="none" w:sz="0" w:space="0" w:color="auto"/>
        <w:right w:val="none" w:sz="0" w:space="0" w:color="auto"/>
      </w:divBdr>
    </w:div>
    <w:div w:id="60298766">
      <w:bodyDiv w:val="1"/>
      <w:marLeft w:val="0"/>
      <w:marRight w:val="0"/>
      <w:marTop w:val="0"/>
      <w:marBottom w:val="0"/>
      <w:divBdr>
        <w:top w:val="none" w:sz="0" w:space="0" w:color="auto"/>
        <w:left w:val="none" w:sz="0" w:space="0" w:color="auto"/>
        <w:bottom w:val="none" w:sz="0" w:space="0" w:color="auto"/>
        <w:right w:val="none" w:sz="0" w:space="0" w:color="auto"/>
      </w:divBdr>
    </w:div>
    <w:div w:id="80374934">
      <w:bodyDiv w:val="1"/>
      <w:marLeft w:val="0"/>
      <w:marRight w:val="0"/>
      <w:marTop w:val="0"/>
      <w:marBottom w:val="0"/>
      <w:divBdr>
        <w:top w:val="none" w:sz="0" w:space="0" w:color="auto"/>
        <w:left w:val="none" w:sz="0" w:space="0" w:color="auto"/>
        <w:bottom w:val="none" w:sz="0" w:space="0" w:color="auto"/>
        <w:right w:val="none" w:sz="0" w:space="0" w:color="auto"/>
      </w:divBdr>
    </w:div>
    <w:div w:id="99881097">
      <w:bodyDiv w:val="1"/>
      <w:marLeft w:val="0"/>
      <w:marRight w:val="0"/>
      <w:marTop w:val="0"/>
      <w:marBottom w:val="0"/>
      <w:divBdr>
        <w:top w:val="none" w:sz="0" w:space="0" w:color="auto"/>
        <w:left w:val="none" w:sz="0" w:space="0" w:color="auto"/>
        <w:bottom w:val="none" w:sz="0" w:space="0" w:color="auto"/>
        <w:right w:val="none" w:sz="0" w:space="0" w:color="auto"/>
      </w:divBdr>
    </w:div>
    <w:div w:id="117456907">
      <w:bodyDiv w:val="1"/>
      <w:marLeft w:val="0"/>
      <w:marRight w:val="0"/>
      <w:marTop w:val="0"/>
      <w:marBottom w:val="0"/>
      <w:divBdr>
        <w:top w:val="none" w:sz="0" w:space="0" w:color="auto"/>
        <w:left w:val="none" w:sz="0" w:space="0" w:color="auto"/>
        <w:bottom w:val="none" w:sz="0" w:space="0" w:color="auto"/>
        <w:right w:val="none" w:sz="0" w:space="0" w:color="auto"/>
      </w:divBdr>
    </w:div>
    <w:div w:id="121268383">
      <w:bodyDiv w:val="1"/>
      <w:marLeft w:val="0"/>
      <w:marRight w:val="0"/>
      <w:marTop w:val="0"/>
      <w:marBottom w:val="0"/>
      <w:divBdr>
        <w:top w:val="none" w:sz="0" w:space="0" w:color="auto"/>
        <w:left w:val="none" w:sz="0" w:space="0" w:color="auto"/>
        <w:bottom w:val="none" w:sz="0" w:space="0" w:color="auto"/>
        <w:right w:val="none" w:sz="0" w:space="0" w:color="auto"/>
      </w:divBdr>
    </w:div>
    <w:div w:id="144006652">
      <w:bodyDiv w:val="1"/>
      <w:marLeft w:val="0"/>
      <w:marRight w:val="0"/>
      <w:marTop w:val="0"/>
      <w:marBottom w:val="0"/>
      <w:divBdr>
        <w:top w:val="none" w:sz="0" w:space="0" w:color="auto"/>
        <w:left w:val="none" w:sz="0" w:space="0" w:color="auto"/>
        <w:bottom w:val="none" w:sz="0" w:space="0" w:color="auto"/>
        <w:right w:val="none" w:sz="0" w:space="0" w:color="auto"/>
      </w:divBdr>
    </w:div>
    <w:div w:id="157116140">
      <w:bodyDiv w:val="1"/>
      <w:marLeft w:val="0"/>
      <w:marRight w:val="0"/>
      <w:marTop w:val="0"/>
      <w:marBottom w:val="0"/>
      <w:divBdr>
        <w:top w:val="none" w:sz="0" w:space="0" w:color="auto"/>
        <w:left w:val="none" w:sz="0" w:space="0" w:color="auto"/>
        <w:bottom w:val="none" w:sz="0" w:space="0" w:color="auto"/>
        <w:right w:val="none" w:sz="0" w:space="0" w:color="auto"/>
      </w:divBdr>
    </w:div>
    <w:div w:id="175729571">
      <w:bodyDiv w:val="1"/>
      <w:marLeft w:val="0"/>
      <w:marRight w:val="0"/>
      <w:marTop w:val="0"/>
      <w:marBottom w:val="0"/>
      <w:divBdr>
        <w:top w:val="none" w:sz="0" w:space="0" w:color="auto"/>
        <w:left w:val="none" w:sz="0" w:space="0" w:color="auto"/>
        <w:bottom w:val="none" w:sz="0" w:space="0" w:color="auto"/>
        <w:right w:val="none" w:sz="0" w:space="0" w:color="auto"/>
      </w:divBdr>
    </w:div>
    <w:div w:id="190652216">
      <w:bodyDiv w:val="1"/>
      <w:marLeft w:val="0"/>
      <w:marRight w:val="0"/>
      <w:marTop w:val="0"/>
      <w:marBottom w:val="0"/>
      <w:divBdr>
        <w:top w:val="none" w:sz="0" w:space="0" w:color="auto"/>
        <w:left w:val="none" w:sz="0" w:space="0" w:color="auto"/>
        <w:bottom w:val="none" w:sz="0" w:space="0" w:color="auto"/>
        <w:right w:val="none" w:sz="0" w:space="0" w:color="auto"/>
      </w:divBdr>
    </w:div>
    <w:div w:id="250161968">
      <w:bodyDiv w:val="1"/>
      <w:marLeft w:val="0"/>
      <w:marRight w:val="0"/>
      <w:marTop w:val="0"/>
      <w:marBottom w:val="0"/>
      <w:divBdr>
        <w:top w:val="none" w:sz="0" w:space="0" w:color="auto"/>
        <w:left w:val="none" w:sz="0" w:space="0" w:color="auto"/>
        <w:bottom w:val="none" w:sz="0" w:space="0" w:color="auto"/>
        <w:right w:val="none" w:sz="0" w:space="0" w:color="auto"/>
      </w:divBdr>
    </w:div>
    <w:div w:id="261912908">
      <w:bodyDiv w:val="1"/>
      <w:marLeft w:val="0"/>
      <w:marRight w:val="0"/>
      <w:marTop w:val="0"/>
      <w:marBottom w:val="0"/>
      <w:divBdr>
        <w:top w:val="none" w:sz="0" w:space="0" w:color="auto"/>
        <w:left w:val="none" w:sz="0" w:space="0" w:color="auto"/>
        <w:bottom w:val="none" w:sz="0" w:space="0" w:color="auto"/>
        <w:right w:val="none" w:sz="0" w:space="0" w:color="auto"/>
      </w:divBdr>
    </w:div>
    <w:div w:id="309482478">
      <w:bodyDiv w:val="1"/>
      <w:marLeft w:val="0"/>
      <w:marRight w:val="0"/>
      <w:marTop w:val="0"/>
      <w:marBottom w:val="0"/>
      <w:divBdr>
        <w:top w:val="none" w:sz="0" w:space="0" w:color="auto"/>
        <w:left w:val="none" w:sz="0" w:space="0" w:color="auto"/>
        <w:bottom w:val="none" w:sz="0" w:space="0" w:color="auto"/>
        <w:right w:val="none" w:sz="0" w:space="0" w:color="auto"/>
      </w:divBdr>
    </w:div>
    <w:div w:id="315304611">
      <w:bodyDiv w:val="1"/>
      <w:marLeft w:val="0"/>
      <w:marRight w:val="0"/>
      <w:marTop w:val="0"/>
      <w:marBottom w:val="0"/>
      <w:divBdr>
        <w:top w:val="none" w:sz="0" w:space="0" w:color="auto"/>
        <w:left w:val="none" w:sz="0" w:space="0" w:color="auto"/>
        <w:bottom w:val="none" w:sz="0" w:space="0" w:color="auto"/>
        <w:right w:val="none" w:sz="0" w:space="0" w:color="auto"/>
      </w:divBdr>
    </w:div>
    <w:div w:id="325980826">
      <w:bodyDiv w:val="1"/>
      <w:marLeft w:val="0"/>
      <w:marRight w:val="0"/>
      <w:marTop w:val="0"/>
      <w:marBottom w:val="0"/>
      <w:divBdr>
        <w:top w:val="none" w:sz="0" w:space="0" w:color="auto"/>
        <w:left w:val="none" w:sz="0" w:space="0" w:color="auto"/>
        <w:bottom w:val="none" w:sz="0" w:space="0" w:color="auto"/>
        <w:right w:val="none" w:sz="0" w:space="0" w:color="auto"/>
      </w:divBdr>
    </w:div>
    <w:div w:id="366762823">
      <w:bodyDiv w:val="1"/>
      <w:marLeft w:val="0"/>
      <w:marRight w:val="0"/>
      <w:marTop w:val="0"/>
      <w:marBottom w:val="0"/>
      <w:divBdr>
        <w:top w:val="none" w:sz="0" w:space="0" w:color="auto"/>
        <w:left w:val="none" w:sz="0" w:space="0" w:color="auto"/>
        <w:bottom w:val="none" w:sz="0" w:space="0" w:color="auto"/>
        <w:right w:val="none" w:sz="0" w:space="0" w:color="auto"/>
      </w:divBdr>
    </w:div>
    <w:div w:id="398940345">
      <w:bodyDiv w:val="1"/>
      <w:marLeft w:val="0"/>
      <w:marRight w:val="0"/>
      <w:marTop w:val="0"/>
      <w:marBottom w:val="0"/>
      <w:divBdr>
        <w:top w:val="none" w:sz="0" w:space="0" w:color="auto"/>
        <w:left w:val="none" w:sz="0" w:space="0" w:color="auto"/>
        <w:bottom w:val="none" w:sz="0" w:space="0" w:color="auto"/>
        <w:right w:val="none" w:sz="0" w:space="0" w:color="auto"/>
      </w:divBdr>
    </w:div>
    <w:div w:id="423964279">
      <w:bodyDiv w:val="1"/>
      <w:marLeft w:val="0"/>
      <w:marRight w:val="0"/>
      <w:marTop w:val="0"/>
      <w:marBottom w:val="0"/>
      <w:divBdr>
        <w:top w:val="none" w:sz="0" w:space="0" w:color="auto"/>
        <w:left w:val="none" w:sz="0" w:space="0" w:color="auto"/>
        <w:bottom w:val="none" w:sz="0" w:space="0" w:color="auto"/>
        <w:right w:val="none" w:sz="0" w:space="0" w:color="auto"/>
      </w:divBdr>
    </w:div>
    <w:div w:id="471017936">
      <w:bodyDiv w:val="1"/>
      <w:marLeft w:val="0"/>
      <w:marRight w:val="0"/>
      <w:marTop w:val="0"/>
      <w:marBottom w:val="0"/>
      <w:divBdr>
        <w:top w:val="none" w:sz="0" w:space="0" w:color="auto"/>
        <w:left w:val="none" w:sz="0" w:space="0" w:color="auto"/>
        <w:bottom w:val="none" w:sz="0" w:space="0" w:color="auto"/>
        <w:right w:val="none" w:sz="0" w:space="0" w:color="auto"/>
      </w:divBdr>
    </w:div>
    <w:div w:id="490563882">
      <w:bodyDiv w:val="1"/>
      <w:marLeft w:val="0"/>
      <w:marRight w:val="0"/>
      <w:marTop w:val="0"/>
      <w:marBottom w:val="0"/>
      <w:divBdr>
        <w:top w:val="none" w:sz="0" w:space="0" w:color="auto"/>
        <w:left w:val="none" w:sz="0" w:space="0" w:color="auto"/>
        <w:bottom w:val="none" w:sz="0" w:space="0" w:color="auto"/>
        <w:right w:val="none" w:sz="0" w:space="0" w:color="auto"/>
      </w:divBdr>
    </w:div>
    <w:div w:id="491679351">
      <w:bodyDiv w:val="1"/>
      <w:marLeft w:val="0"/>
      <w:marRight w:val="0"/>
      <w:marTop w:val="0"/>
      <w:marBottom w:val="0"/>
      <w:divBdr>
        <w:top w:val="none" w:sz="0" w:space="0" w:color="auto"/>
        <w:left w:val="none" w:sz="0" w:space="0" w:color="auto"/>
        <w:bottom w:val="none" w:sz="0" w:space="0" w:color="auto"/>
        <w:right w:val="none" w:sz="0" w:space="0" w:color="auto"/>
      </w:divBdr>
    </w:div>
    <w:div w:id="569848997">
      <w:bodyDiv w:val="1"/>
      <w:marLeft w:val="0"/>
      <w:marRight w:val="0"/>
      <w:marTop w:val="0"/>
      <w:marBottom w:val="0"/>
      <w:divBdr>
        <w:top w:val="none" w:sz="0" w:space="0" w:color="auto"/>
        <w:left w:val="none" w:sz="0" w:space="0" w:color="auto"/>
        <w:bottom w:val="none" w:sz="0" w:space="0" w:color="auto"/>
        <w:right w:val="none" w:sz="0" w:space="0" w:color="auto"/>
      </w:divBdr>
    </w:div>
    <w:div w:id="616715585">
      <w:bodyDiv w:val="1"/>
      <w:marLeft w:val="0"/>
      <w:marRight w:val="0"/>
      <w:marTop w:val="0"/>
      <w:marBottom w:val="0"/>
      <w:divBdr>
        <w:top w:val="none" w:sz="0" w:space="0" w:color="auto"/>
        <w:left w:val="none" w:sz="0" w:space="0" w:color="auto"/>
        <w:bottom w:val="none" w:sz="0" w:space="0" w:color="auto"/>
        <w:right w:val="none" w:sz="0" w:space="0" w:color="auto"/>
      </w:divBdr>
    </w:div>
    <w:div w:id="657420531">
      <w:bodyDiv w:val="1"/>
      <w:marLeft w:val="0"/>
      <w:marRight w:val="0"/>
      <w:marTop w:val="0"/>
      <w:marBottom w:val="0"/>
      <w:divBdr>
        <w:top w:val="none" w:sz="0" w:space="0" w:color="auto"/>
        <w:left w:val="none" w:sz="0" w:space="0" w:color="auto"/>
        <w:bottom w:val="none" w:sz="0" w:space="0" w:color="auto"/>
        <w:right w:val="none" w:sz="0" w:space="0" w:color="auto"/>
      </w:divBdr>
    </w:div>
    <w:div w:id="664626220">
      <w:bodyDiv w:val="1"/>
      <w:marLeft w:val="0"/>
      <w:marRight w:val="0"/>
      <w:marTop w:val="0"/>
      <w:marBottom w:val="0"/>
      <w:divBdr>
        <w:top w:val="none" w:sz="0" w:space="0" w:color="auto"/>
        <w:left w:val="none" w:sz="0" w:space="0" w:color="auto"/>
        <w:bottom w:val="none" w:sz="0" w:space="0" w:color="auto"/>
        <w:right w:val="none" w:sz="0" w:space="0" w:color="auto"/>
      </w:divBdr>
    </w:div>
    <w:div w:id="702943142">
      <w:bodyDiv w:val="1"/>
      <w:marLeft w:val="0"/>
      <w:marRight w:val="0"/>
      <w:marTop w:val="0"/>
      <w:marBottom w:val="0"/>
      <w:divBdr>
        <w:top w:val="none" w:sz="0" w:space="0" w:color="auto"/>
        <w:left w:val="none" w:sz="0" w:space="0" w:color="auto"/>
        <w:bottom w:val="none" w:sz="0" w:space="0" w:color="auto"/>
        <w:right w:val="none" w:sz="0" w:space="0" w:color="auto"/>
      </w:divBdr>
    </w:div>
    <w:div w:id="746340272">
      <w:bodyDiv w:val="1"/>
      <w:marLeft w:val="0"/>
      <w:marRight w:val="0"/>
      <w:marTop w:val="0"/>
      <w:marBottom w:val="0"/>
      <w:divBdr>
        <w:top w:val="none" w:sz="0" w:space="0" w:color="auto"/>
        <w:left w:val="none" w:sz="0" w:space="0" w:color="auto"/>
        <w:bottom w:val="none" w:sz="0" w:space="0" w:color="auto"/>
        <w:right w:val="none" w:sz="0" w:space="0" w:color="auto"/>
      </w:divBdr>
    </w:div>
    <w:div w:id="781919465">
      <w:bodyDiv w:val="1"/>
      <w:marLeft w:val="0"/>
      <w:marRight w:val="0"/>
      <w:marTop w:val="0"/>
      <w:marBottom w:val="0"/>
      <w:divBdr>
        <w:top w:val="none" w:sz="0" w:space="0" w:color="auto"/>
        <w:left w:val="none" w:sz="0" w:space="0" w:color="auto"/>
        <w:bottom w:val="none" w:sz="0" w:space="0" w:color="auto"/>
        <w:right w:val="none" w:sz="0" w:space="0" w:color="auto"/>
      </w:divBdr>
    </w:div>
    <w:div w:id="850215386">
      <w:bodyDiv w:val="1"/>
      <w:marLeft w:val="0"/>
      <w:marRight w:val="0"/>
      <w:marTop w:val="0"/>
      <w:marBottom w:val="0"/>
      <w:divBdr>
        <w:top w:val="none" w:sz="0" w:space="0" w:color="auto"/>
        <w:left w:val="none" w:sz="0" w:space="0" w:color="auto"/>
        <w:bottom w:val="none" w:sz="0" w:space="0" w:color="auto"/>
        <w:right w:val="none" w:sz="0" w:space="0" w:color="auto"/>
      </w:divBdr>
    </w:div>
    <w:div w:id="918371513">
      <w:bodyDiv w:val="1"/>
      <w:marLeft w:val="0"/>
      <w:marRight w:val="0"/>
      <w:marTop w:val="0"/>
      <w:marBottom w:val="0"/>
      <w:divBdr>
        <w:top w:val="none" w:sz="0" w:space="0" w:color="auto"/>
        <w:left w:val="none" w:sz="0" w:space="0" w:color="auto"/>
        <w:bottom w:val="none" w:sz="0" w:space="0" w:color="auto"/>
        <w:right w:val="none" w:sz="0" w:space="0" w:color="auto"/>
      </w:divBdr>
    </w:div>
    <w:div w:id="980691089">
      <w:bodyDiv w:val="1"/>
      <w:marLeft w:val="0"/>
      <w:marRight w:val="0"/>
      <w:marTop w:val="0"/>
      <w:marBottom w:val="0"/>
      <w:divBdr>
        <w:top w:val="none" w:sz="0" w:space="0" w:color="auto"/>
        <w:left w:val="none" w:sz="0" w:space="0" w:color="auto"/>
        <w:bottom w:val="none" w:sz="0" w:space="0" w:color="auto"/>
        <w:right w:val="none" w:sz="0" w:space="0" w:color="auto"/>
      </w:divBdr>
    </w:div>
    <w:div w:id="1019428435">
      <w:bodyDiv w:val="1"/>
      <w:marLeft w:val="0"/>
      <w:marRight w:val="0"/>
      <w:marTop w:val="0"/>
      <w:marBottom w:val="0"/>
      <w:divBdr>
        <w:top w:val="none" w:sz="0" w:space="0" w:color="auto"/>
        <w:left w:val="none" w:sz="0" w:space="0" w:color="auto"/>
        <w:bottom w:val="none" w:sz="0" w:space="0" w:color="auto"/>
        <w:right w:val="none" w:sz="0" w:space="0" w:color="auto"/>
      </w:divBdr>
    </w:div>
    <w:div w:id="1046486889">
      <w:bodyDiv w:val="1"/>
      <w:marLeft w:val="0"/>
      <w:marRight w:val="0"/>
      <w:marTop w:val="0"/>
      <w:marBottom w:val="0"/>
      <w:divBdr>
        <w:top w:val="none" w:sz="0" w:space="0" w:color="auto"/>
        <w:left w:val="none" w:sz="0" w:space="0" w:color="auto"/>
        <w:bottom w:val="none" w:sz="0" w:space="0" w:color="auto"/>
        <w:right w:val="none" w:sz="0" w:space="0" w:color="auto"/>
      </w:divBdr>
    </w:div>
    <w:div w:id="1100181542">
      <w:bodyDiv w:val="1"/>
      <w:marLeft w:val="0"/>
      <w:marRight w:val="0"/>
      <w:marTop w:val="0"/>
      <w:marBottom w:val="0"/>
      <w:divBdr>
        <w:top w:val="none" w:sz="0" w:space="0" w:color="auto"/>
        <w:left w:val="none" w:sz="0" w:space="0" w:color="auto"/>
        <w:bottom w:val="none" w:sz="0" w:space="0" w:color="auto"/>
        <w:right w:val="none" w:sz="0" w:space="0" w:color="auto"/>
      </w:divBdr>
    </w:div>
    <w:div w:id="1113938292">
      <w:bodyDiv w:val="1"/>
      <w:marLeft w:val="0"/>
      <w:marRight w:val="0"/>
      <w:marTop w:val="0"/>
      <w:marBottom w:val="0"/>
      <w:divBdr>
        <w:top w:val="none" w:sz="0" w:space="0" w:color="auto"/>
        <w:left w:val="none" w:sz="0" w:space="0" w:color="auto"/>
        <w:bottom w:val="none" w:sz="0" w:space="0" w:color="auto"/>
        <w:right w:val="none" w:sz="0" w:space="0" w:color="auto"/>
      </w:divBdr>
    </w:div>
    <w:div w:id="1154643577">
      <w:bodyDiv w:val="1"/>
      <w:marLeft w:val="0"/>
      <w:marRight w:val="0"/>
      <w:marTop w:val="0"/>
      <w:marBottom w:val="0"/>
      <w:divBdr>
        <w:top w:val="none" w:sz="0" w:space="0" w:color="auto"/>
        <w:left w:val="none" w:sz="0" w:space="0" w:color="auto"/>
        <w:bottom w:val="none" w:sz="0" w:space="0" w:color="auto"/>
        <w:right w:val="none" w:sz="0" w:space="0" w:color="auto"/>
      </w:divBdr>
    </w:div>
    <w:div w:id="1181507846">
      <w:bodyDiv w:val="1"/>
      <w:marLeft w:val="0"/>
      <w:marRight w:val="0"/>
      <w:marTop w:val="0"/>
      <w:marBottom w:val="0"/>
      <w:divBdr>
        <w:top w:val="none" w:sz="0" w:space="0" w:color="auto"/>
        <w:left w:val="none" w:sz="0" w:space="0" w:color="auto"/>
        <w:bottom w:val="none" w:sz="0" w:space="0" w:color="auto"/>
        <w:right w:val="none" w:sz="0" w:space="0" w:color="auto"/>
      </w:divBdr>
    </w:div>
    <w:div w:id="1245257242">
      <w:bodyDiv w:val="1"/>
      <w:marLeft w:val="0"/>
      <w:marRight w:val="0"/>
      <w:marTop w:val="0"/>
      <w:marBottom w:val="0"/>
      <w:divBdr>
        <w:top w:val="none" w:sz="0" w:space="0" w:color="auto"/>
        <w:left w:val="none" w:sz="0" w:space="0" w:color="auto"/>
        <w:bottom w:val="none" w:sz="0" w:space="0" w:color="auto"/>
        <w:right w:val="none" w:sz="0" w:space="0" w:color="auto"/>
      </w:divBdr>
    </w:div>
    <w:div w:id="1248228322">
      <w:bodyDiv w:val="1"/>
      <w:marLeft w:val="0"/>
      <w:marRight w:val="0"/>
      <w:marTop w:val="0"/>
      <w:marBottom w:val="0"/>
      <w:divBdr>
        <w:top w:val="none" w:sz="0" w:space="0" w:color="auto"/>
        <w:left w:val="none" w:sz="0" w:space="0" w:color="auto"/>
        <w:bottom w:val="none" w:sz="0" w:space="0" w:color="auto"/>
        <w:right w:val="none" w:sz="0" w:space="0" w:color="auto"/>
      </w:divBdr>
    </w:div>
    <w:div w:id="1249850433">
      <w:bodyDiv w:val="1"/>
      <w:marLeft w:val="0"/>
      <w:marRight w:val="0"/>
      <w:marTop w:val="0"/>
      <w:marBottom w:val="0"/>
      <w:divBdr>
        <w:top w:val="none" w:sz="0" w:space="0" w:color="auto"/>
        <w:left w:val="none" w:sz="0" w:space="0" w:color="auto"/>
        <w:bottom w:val="none" w:sz="0" w:space="0" w:color="auto"/>
        <w:right w:val="none" w:sz="0" w:space="0" w:color="auto"/>
      </w:divBdr>
    </w:div>
    <w:div w:id="1280650159">
      <w:bodyDiv w:val="1"/>
      <w:marLeft w:val="0"/>
      <w:marRight w:val="0"/>
      <w:marTop w:val="0"/>
      <w:marBottom w:val="0"/>
      <w:divBdr>
        <w:top w:val="none" w:sz="0" w:space="0" w:color="auto"/>
        <w:left w:val="none" w:sz="0" w:space="0" w:color="auto"/>
        <w:bottom w:val="none" w:sz="0" w:space="0" w:color="auto"/>
        <w:right w:val="none" w:sz="0" w:space="0" w:color="auto"/>
      </w:divBdr>
    </w:div>
    <w:div w:id="1292176652">
      <w:bodyDiv w:val="1"/>
      <w:marLeft w:val="0"/>
      <w:marRight w:val="0"/>
      <w:marTop w:val="0"/>
      <w:marBottom w:val="0"/>
      <w:divBdr>
        <w:top w:val="none" w:sz="0" w:space="0" w:color="auto"/>
        <w:left w:val="none" w:sz="0" w:space="0" w:color="auto"/>
        <w:bottom w:val="none" w:sz="0" w:space="0" w:color="auto"/>
        <w:right w:val="none" w:sz="0" w:space="0" w:color="auto"/>
      </w:divBdr>
    </w:div>
    <w:div w:id="1320767900">
      <w:bodyDiv w:val="1"/>
      <w:marLeft w:val="0"/>
      <w:marRight w:val="0"/>
      <w:marTop w:val="0"/>
      <w:marBottom w:val="0"/>
      <w:divBdr>
        <w:top w:val="none" w:sz="0" w:space="0" w:color="auto"/>
        <w:left w:val="none" w:sz="0" w:space="0" w:color="auto"/>
        <w:bottom w:val="none" w:sz="0" w:space="0" w:color="auto"/>
        <w:right w:val="none" w:sz="0" w:space="0" w:color="auto"/>
      </w:divBdr>
    </w:div>
    <w:div w:id="1342203796">
      <w:bodyDiv w:val="1"/>
      <w:marLeft w:val="0"/>
      <w:marRight w:val="0"/>
      <w:marTop w:val="0"/>
      <w:marBottom w:val="0"/>
      <w:divBdr>
        <w:top w:val="none" w:sz="0" w:space="0" w:color="auto"/>
        <w:left w:val="none" w:sz="0" w:space="0" w:color="auto"/>
        <w:bottom w:val="none" w:sz="0" w:space="0" w:color="auto"/>
        <w:right w:val="none" w:sz="0" w:space="0" w:color="auto"/>
      </w:divBdr>
    </w:div>
    <w:div w:id="1391883170">
      <w:bodyDiv w:val="1"/>
      <w:marLeft w:val="0"/>
      <w:marRight w:val="0"/>
      <w:marTop w:val="0"/>
      <w:marBottom w:val="0"/>
      <w:divBdr>
        <w:top w:val="none" w:sz="0" w:space="0" w:color="auto"/>
        <w:left w:val="none" w:sz="0" w:space="0" w:color="auto"/>
        <w:bottom w:val="none" w:sz="0" w:space="0" w:color="auto"/>
        <w:right w:val="none" w:sz="0" w:space="0" w:color="auto"/>
      </w:divBdr>
    </w:div>
    <w:div w:id="1538156302">
      <w:bodyDiv w:val="1"/>
      <w:marLeft w:val="0"/>
      <w:marRight w:val="0"/>
      <w:marTop w:val="0"/>
      <w:marBottom w:val="0"/>
      <w:divBdr>
        <w:top w:val="none" w:sz="0" w:space="0" w:color="auto"/>
        <w:left w:val="none" w:sz="0" w:space="0" w:color="auto"/>
        <w:bottom w:val="none" w:sz="0" w:space="0" w:color="auto"/>
        <w:right w:val="none" w:sz="0" w:space="0" w:color="auto"/>
      </w:divBdr>
    </w:div>
    <w:div w:id="1545219629">
      <w:bodyDiv w:val="1"/>
      <w:marLeft w:val="0"/>
      <w:marRight w:val="0"/>
      <w:marTop w:val="0"/>
      <w:marBottom w:val="0"/>
      <w:divBdr>
        <w:top w:val="none" w:sz="0" w:space="0" w:color="auto"/>
        <w:left w:val="none" w:sz="0" w:space="0" w:color="auto"/>
        <w:bottom w:val="none" w:sz="0" w:space="0" w:color="auto"/>
        <w:right w:val="none" w:sz="0" w:space="0" w:color="auto"/>
      </w:divBdr>
    </w:div>
    <w:div w:id="1575161460">
      <w:bodyDiv w:val="1"/>
      <w:marLeft w:val="0"/>
      <w:marRight w:val="0"/>
      <w:marTop w:val="0"/>
      <w:marBottom w:val="0"/>
      <w:divBdr>
        <w:top w:val="none" w:sz="0" w:space="0" w:color="auto"/>
        <w:left w:val="none" w:sz="0" w:space="0" w:color="auto"/>
        <w:bottom w:val="none" w:sz="0" w:space="0" w:color="auto"/>
        <w:right w:val="none" w:sz="0" w:space="0" w:color="auto"/>
      </w:divBdr>
    </w:div>
    <w:div w:id="1624842052">
      <w:bodyDiv w:val="1"/>
      <w:marLeft w:val="0"/>
      <w:marRight w:val="0"/>
      <w:marTop w:val="0"/>
      <w:marBottom w:val="0"/>
      <w:divBdr>
        <w:top w:val="none" w:sz="0" w:space="0" w:color="auto"/>
        <w:left w:val="none" w:sz="0" w:space="0" w:color="auto"/>
        <w:bottom w:val="none" w:sz="0" w:space="0" w:color="auto"/>
        <w:right w:val="none" w:sz="0" w:space="0" w:color="auto"/>
      </w:divBdr>
    </w:div>
    <w:div w:id="1637293975">
      <w:bodyDiv w:val="1"/>
      <w:marLeft w:val="0"/>
      <w:marRight w:val="0"/>
      <w:marTop w:val="0"/>
      <w:marBottom w:val="0"/>
      <w:divBdr>
        <w:top w:val="none" w:sz="0" w:space="0" w:color="auto"/>
        <w:left w:val="none" w:sz="0" w:space="0" w:color="auto"/>
        <w:bottom w:val="none" w:sz="0" w:space="0" w:color="auto"/>
        <w:right w:val="none" w:sz="0" w:space="0" w:color="auto"/>
      </w:divBdr>
    </w:div>
    <w:div w:id="1679578663">
      <w:bodyDiv w:val="1"/>
      <w:marLeft w:val="0"/>
      <w:marRight w:val="0"/>
      <w:marTop w:val="0"/>
      <w:marBottom w:val="0"/>
      <w:divBdr>
        <w:top w:val="none" w:sz="0" w:space="0" w:color="auto"/>
        <w:left w:val="none" w:sz="0" w:space="0" w:color="auto"/>
        <w:bottom w:val="none" w:sz="0" w:space="0" w:color="auto"/>
        <w:right w:val="none" w:sz="0" w:space="0" w:color="auto"/>
      </w:divBdr>
    </w:div>
    <w:div w:id="1706516485">
      <w:bodyDiv w:val="1"/>
      <w:marLeft w:val="0"/>
      <w:marRight w:val="0"/>
      <w:marTop w:val="0"/>
      <w:marBottom w:val="0"/>
      <w:divBdr>
        <w:top w:val="none" w:sz="0" w:space="0" w:color="auto"/>
        <w:left w:val="none" w:sz="0" w:space="0" w:color="auto"/>
        <w:bottom w:val="none" w:sz="0" w:space="0" w:color="auto"/>
        <w:right w:val="none" w:sz="0" w:space="0" w:color="auto"/>
      </w:divBdr>
    </w:div>
    <w:div w:id="1740011012">
      <w:bodyDiv w:val="1"/>
      <w:marLeft w:val="0"/>
      <w:marRight w:val="0"/>
      <w:marTop w:val="0"/>
      <w:marBottom w:val="0"/>
      <w:divBdr>
        <w:top w:val="none" w:sz="0" w:space="0" w:color="auto"/>
        <w:left w:val="none" w:sz="0" w:space="0" w:color="auto"/>
        <w:bottom w:val="none" w:sz="0" w:space="0" w:color="auto"/>
        <w:right w:val="none" w:sz="0" w:space="0" w:color="auto"/>
      </w:divBdr>
    </w:div>
    <w:div w:id="1752072025">
      <w:bodyDiv w:val="1"/>
      <w:marLeft w:val="0"/>
      <w:marRight w:val="0"/>
      <w:marTop w:val="0"/>
      <w:marBottom w:val="0"/>
      <w:divBdr>
        <w:top w:val="none" w:sz="0" w:space="0" w:color="auto"/>
        <w:left w:val="none" w:sz="0" w:space="0" w:color="auto"/>
        <w:bottom w:val="none" w:sz="0" w:space="0" w:color="auto"/>
        <w:right w:val="none" w:sz="0" w:space="0" w:color="auto"/>
      </w:divBdr>
    </w:div>
    <w:div w:id="1773624775">
      <w:bodyDiv w:val="1"/>
      <w:marLeft w:val="0"/>
      <w:marRight w:val="0"/>
      <w:marTop w:val="0"/>
      <w:marBottom w:val="0"/>
      <w:divBdr>
        <w:top w:val="none" w:sz="0" w:space="0" w:color="auto"/>
        <w:left w:val="none" w:sz="0" w:space="0" w:color="auto"/>
        <w:bottom w:val="none" w:sz="0" w:space="0" w:color="auto"/>
        <w:right w:val="none" w:sz="0" w:space="0" w:color="auto"/>
      </w:divBdr>
    </w:div>
    <w:div w:id="1849296566">
      <w:bodyDiv w:val="1"/>
      <w:marLeft w:val="0"/>
      <w:marRight w:val="0"/>
      <w:marTop w:val="0"/>
      <w:marBottom w:val="0"/>
      <w:divBdr>
        <w:top w:val="none" w:sz="0" w:space="0" w:color="auto"/>
        <w:left w:val="none" w:sz="0" w:space="0" w:color="auto"/>
        <w:bottom w:val="none" w:sz="0" w:space="0" w:color="auto"/>
        <w:right w:val="none" w:sz="0" w:space="0" w:color="auto"/>
      </w:divBdr>
    </w:div>
    <w:div w:id="1851604545">
      <w:bodyDiv w:val="1"/>
      <w:marLeft w:val="0"/>
      <w:marRight w:val="0"/>
      <w:marTop w:val="0"/>
      <w:marBottom w:val="0"/>
      <w:divBdr>
        <w:top w:val="none" w:sz="0" w:space="0" w:color="auto"/>
        <w:left w:val="none" w:sz="0" w:space="0" w:color="auto"/>
        <w:bottom w:val="none" w:sz="0" w:space="0" w:color="auto"/>
        <w:right w:val="none" w:sz="0" w:space="0" w:color="auto"/>
      </w:divBdr>
    </w:div>
    <w:div w:id="1853447771">
      <w:bodyDiv w:val="1"/>
      <w:marLeft w:val="0"/>
      <w:marRight w:val="0"/>
      <w:marTop w:val="0"/>
      <w:marBottom w:val="0"/>
      <w:divBdr>
        <w:top w:val="none" w:sz="0" w:space="0" w:color="auto"/>
        <w:left w:val="none" w:sz="0" w:space="0" w:color="auto"/>
        <w:bottom w:val="none" w:sz="0" w:space="0" w:color="auto"/>
        <w:right w:val="none" w:sz="0" w:space="0" w:color="auto"/>
      </w:divBdr>
    </w:div>
    <w:div w:id="1853687604">
      <w:bodyDiv w:val="1"/>
      <w:marLeft w:val="0"/>
      <w:marRight w:val="0"/>
      <w:marTop w:val="0"/>
      <w:marBottom w:val="0"/>
      <w:divBdr>
        <w:top w:val="none" w:sz="0" w:space="0" w:color="auto"/>
        <w:left w:val="none" w:sz="0" w:space="0" w:color="auto"/>
        <w:bottom w:val="none" w:sz="0" w:space="0" w:color="auto"/>
        <w:right w:val="none" w:sz="0" w:space="0" w:color="auto"/>
      </w:divBdr>
    </w:div>
    <w:div w:id="1879048378">
      <w:bodyDiv w:val="1"/>
      <w:marLeft w:val="0"/>
      <w:marRight w:val="0"/>
      <w:marTop w:val="0"/>
      <w:marBottom w:val="0"/>
      <w:divBdr>
        <w:top w:val="none" w:sz="0" w:space="0" w:color="auto"/>
        <w:left w:val="none" w:sz="0" w:space="0" w:color="auto"/>
        <w:bottom w:val="none" w:sz="0" w:space="0" w:color="auto"/>
        <w:right w:val="none" w:sz="0" w:space="0" w:color="auto"/>
      </w:divBdr>
    </w:div>
    <w:div w:id="1922524878">
      <w:bodyDiv w:val="1"/>
      <w:marLeft w:val="0"/>
      <w:marRight w:val="0"/>
      <w:marTop w:val="0"/>
      <w:marBottom w:val="0"/>
      <w:divBdr>
        <w:top w:val="none" w:sz="0" w:space="0" w:color="auto"/>
        <w:left w:val="none" w:sz="0" w:space="0" w:color="auto"/>
        <w:bottom w:val="none" w:sz="0" w:space="0" w:color="auto"/>
        <w:right w:val="none" w:sz="0" w:space="0" w:color="auto"/>
      </w:divBdr>
    </w:div>
    <w:div w:id="1949466564">
      <w:bodyDiv w:val="1"/>
      <w:marLeft w:val="0"/>
      <w:marRight w:val="0"/>
      <w:marTop w:val="0"/>
      <w:marBottom w:val="0"/>
      <w:divBdr>
        <w:top w:val="none" w:sz="0" w:space="0" w:color="auto"/>
        <w:left w:val="none" w:sz="0" w:space="0" w:color="auto"/>
        <w:bottom w:val="none" w:sz="0" w:space="0" w:color="auto"/>
        <w:right w:val="none" w:sz="0" w:space="0" w:color="auto"/>
      </w:divBdr>
    </w:div>
    <w:div w:id="1971664118">
      <w:bodyDiv w:val="1"/>
      <w:marLeft w:val="0"/>
      <w:marRight w:val="0"/>
      <w:marTop w:val="0"/>
      <w:marBottom w:val="0"/>
      <w:divBdr>
        <w:top w:val="none" w:sz="0" w:space="0" w:color="auto"/>
        <w:left w:val="none" w:sz="0" w:space="0" w:color="auto"/>
        <w:bottom w:val="none" w:sz="0" w:space="0" w:color="auto"/>
        <w:right w:val="none" w:sz="0" w:space="0" w:color="auto"/>
      </w:divBdr>
    </w:div>
    <w:div w:id="1995834645">
      <w:bodyDiv w:val="1"/>
      <w:marLeft w:val="0"/>
      <w:marRight w:val="0"/>
      <w:marTop w:val="0"/>
      <w:marBottom w:val="0"/>
      <w:divBdr>
        <w:top w:val="none" w:sz="0" w:space="0" w:color="auto"/>
        <w:left w:val="none" w:sz="0" w:space="0" w:color="auto"/>
        <w:bottom w:val="none" w:sz="0" w:space="0" w:color="auto"/>
        <w:right w:val="none" w:sz="0" w:space="0" w:color="auto"/>
      </w:divBdr>
    </w:div>
    <w:div w:id="2018731044">
      <w:bodyDiv w:val="1"/>
      <w:marLeft w:val="0"/>
      <w:marRight w:val="0"/>
      <w:marTop w:val="0"/>
      <w:marBottom w:val="0"/>
      <w:divBdr>
        <w:top w:val="none" w:sz="0" w:space="0" w:color="auto"/>
        <w:left w:val="none" w:sz="0" w:space="0" w:color="auto"/>
        <w:bottom w:val="none" w:sz="0" w:space="0" w:color="auto"/>
        <w:right w:val="none" w:sz="0" w:space="0" w:color="auto"/>
      </w:divBdr>
    </w:div>
    <w:div w:id="2027557259">
      <w:bodyDiv w:val="1"/>
      <w:marLeft w:val="0"/>
      <w:marRight w:val="0"/>
      <w:marTop w:val="0"/>
      <w:marBottom w:val="0"/>
      <w:divBdr>
        <w:top w:val="none" w:sz="0" w:space="0" w:color="auto"/>
        <w:left w:val="none" w:sz="0" w:space="0" w:color="auto"/>
        <w:bottom w:val="none" w:sz="0" w:space="0" w:color="auto"/>
        <w:right w:val="none" w:sz="0" w:space="0" w:color="auto"/>
      </w:divBdr>
    </w:div>
    <w:div w:id="2071998742">
      <w:bodyDiv w:val="1"/>
      <w:marLeft w:val="0"/>
      <w:marRight w:val="0"/>
      <w:marTop w:val="0"/>
      <w:marBottom w:val="0"/>
      <w:divBdr>
        <w:top w:val="none" w:sz="0" w:space="0" w:color="auto"/>
        <w:left w:val="none" w:sz="0" w:space="0" w:color="auto"/>
        <w:bottom w:val="none" w:sz="0" w:space="0" w:color="auto"/>
        <w:right w:val="none" w:sz="0" w:space="0" w:color="auto"/>
      </w:divBdr>
    </w:div>
    <w:div w:id="2093820534">
      <w:bodyDiv w:val="1"/>
      <w:marLeft w:val="0"/>
      <w:marRight w:val="0"/>
      <w:marTop w:val="0"/>
      <w:marBottom w:val="0"/>
      <w:divBdr>
        <w:top w:val="none" w:sz="0" w:space="0" w:color="auto"/>
        <w:left w:val="none" w:sz="0" w:space="0" w:color="auto"/>
        <w:bottom w:val="none" w:sz="0" w:space="0" w:color="auto"/>
        <w:right w:val="none" w:sz="0" w:space="0" w:color="auto"/>
      </w:divBdr>
    </w:div>
    <w:div w:id="2104063725">
      <w:bodyDiv w:val="1"/>
      <w:marLeft w:val="0"/>
      <w:marRight w:val="0"/>
      <w:marTop w:val="0"/>
      <w:marBottom w:val="0"/>
      <w:divBdr>
        <w:top w:val="none" w:sz="0" w:space="0" w:color="auto"/>
        <w:left w:val="none" w:sz="0" w:space="0" w:color="auto"/>
        <w:bottom w:val="none" w:sz="0" w:space="0" w:color="auto"/>
        <w:right w:val="none" w:sz="0" w:space="0" w:color="auto"/>
      </w:divBdr>
    </w:div>
    <w:div w:id="2133672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derica.demedici@rcs.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erdiana.tardi@rcs.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smediagroup.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smediagroup.i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DF7F91EE0FD458EF49F960D7ABBDC" ma:contentTypeVersion="0" ma:contentTypeDescription="Create a new document." ma:contentTypeScope="" ma:versionID="9c803763838841457c4d290f6161ff92">
  <xsd:schema xmlns:xsd="http://www.w3.org/2001/XMLSchema" xmlns:xs="http://www.w3.org/2001/XMLSchema" xmlns:p="http://schemas.microsoft.com/office/2006/metadata/properties" targetNamespace="http://schemas.microsoft.com/office/2006/metadata/properties" ma:root="true" ma:fieldsID="63da3d758fe226f4ea51b3e5ca2aea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41EC-9C8A-4533-B4BA-D31D76167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C27F6B-42CA-47C1-8458-5AA1774A6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6CA5D7-CC96-4FD4-888E-D34B8EFC6592}">
  <ds:schemaRefs>
    <ds:schemaRef ds:uri="http://schemas.microsoft.com/sharepoint/v3/contenttype/forms"/>
  </ds:schemaRefs>
</ds:datastoreItem>
</file>

<file path=customXml/itemProps4.xml><?xml version="1.0" encoding="utf-8"?>
<ds:datastoreItem xmlns:ds="http://schemas.openxmlformats.org/officeDocument/2006/customXml" ds:itemID="{C6EE22A1-614C-4604-83EE-73D68EA3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15</Pages>
  <Words>7311</Words>
  <Characters>41678</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Ufficio Roma</Company>
  <LinksUpToDate>false</LinksUpToDate>
  <CharactersWithSpaces>48892</CharactersWithSpaces>
  <SharedDoc>false</SharedDoc>
  <HLinks>
    <vt:vector size="30" baseType="variant">
      <vt:variant>
        <vt:i4>1572870</vt:i4>
      </vt:variant>
      <vt:variant>
        <vt:i4>12</vt:i4>
      </vt:variant>
      <vt:variant>
        <vt:i4>0</vt:i4>
      </vt:variant>
      <vt:variant>
        <vt:i4>5</vt:i4>
      </vt:variant>
      <vt:variant>
        <vt:lpwstr>http://www.rcsmediagroup.it/</vt:lpwstr>
      </vt:variant>
      <vt:variant>
        <vt:lpwstr/>
      </vt:variant>
      <vt:variant>
        <vt:i4>3604545</vt:i4>
      </vt:variant>
      <vt:variant>
        <vt:i4>9</vt:i4>
      </vt:variant>
      <vt:variant>
        <vt:i4>0</vt:i4>
      </vt:variant>
      <vt:variant>
        <vt:i4>5</vt:i4>
      </vt:variant>
      <vt:variant>
        <vt:lpwstr>mailto:federica.demedici@rcs.it</vt:lpwstr>
      </vt:variant>
      <vt:variant>
        <vt:lpwstr/>
      </vt:variant>
      <vt:variant>
        <vt:i4>3342412</vt:i4>
      </vt:variant>
      <vt:variant>
        <vt:i4>6</vt:i4>
      </vt:variant>
      <vt:variant>
        <vt:i4>0</vt:i4>
      </vt:variant>
      <vt:variant>
        <vt:i4>5</vt:i4>
      </vt:variant>
      <vt:variant>
        <vt:lpwstr>mailto:verdiana.tardi@rcs.it</vt:lpwstr>
      </vt:variant>
      <vt:variant>
        <vt:lpwstr/>
      </vt:variant>
      <vt:variant>
        <vt:i4>1572870</vt:i4>
      </vt:variant>
      <vt:variant>
        <vt:i4>3</vt:i4>
      </vt:variant>
      <vt:variant>
        <vt:i4>0</vt:i4>
      </vt:variant>
      <vt:variant>
        <vt:i4>5</vt:i4>
      </vt:variant>
      <vt:variant>
        <vt:lpwstr>http://www.rcsmediagroup.it/</vt:lpwstr>
      </vt:variant>
      <vt:variant>
        <vt:lpwstr/>
      </vt:variant>
      <vt:variant>
        <vt:i4>7012413</vt:i4>
      </vt:variant>
      <vt:variant>
        <vt:i4>0</vt:i4>
      </vt:variant>
      <vt:variant>
        <vt:i4>0</vt:i4>
      </vt:variant>
      <vt:variant>
        <vt:i4>5</vt:i4>
      </vt:variant>
      <vt:variant>
        <vt:lpwstr>http://www.rcslibri.it/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Totem srl</dc:creator>
  <cp:lastModifiedBy>Tardi Verdiana</cp:lastModifiedBy>
  <cp:revision>64</cp:revision>
  <cp:lastPrinted>2015-05-14T07:30:00Z</cp:lastPrinted>
  <dcterms:created xsi:type="dcterms:W3CDTF">2015-05-13T09:11:00Z</dcterms:created>
  <dcterms:modified xsi:type="dcterms:W3CDTF">2015-05-14T13:24:00Z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0x010100727DF7F91EE0FD458EF49F960D7ABBDC</vt:lpwstr>
  </property>
</Properties>
</file>